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7F42B" w14:textId="77777777" w:rsidR="007074E9" w:rsidRPr="005C7AE5" w:rsidRDefault="007074E9" w:rsidP="00494D64">
      <w:pPr>
        <w:pStyle w:val="Heading1"/>
        <w:spacing w:after="0"/>
        <w:rPr>
          <w:rFonts w:ascii="Arial" w:hAnsi="Arial" w:cs="Arial"/>
          <w:highlight w:val="yellow"/>
        </w:rPr>
      </w:pPr>
      <w:bookmarkStart w:id="0" w:name="_Toc20813861"/>
      <w:bookmarkStart w:id="1" w:name="_Toc20814865"/>
      <w:bookmarkStart w:id="2" w:name="_Toc20814960"/>
      <w:bookmarkStart w:id="3" w:name="_GoBack"/>
      <w:bookmarkEnd w:id="3"/>
    </w:p>
    <w:bookmarkEnd w:id="0"/>
    <w:bookmarkEnd w:id="1"/>
    <w:bookmarkEnd w:id="2"/>
    <w:p w14:paraId="7AF785FE" w14:textId="77777777" w:rsidR="00494D64" w:rsidRPr="00173D4C" w:rsidRDefault="00494D64" w:rsidP="00494D64">
      <w:pPr>
        <w:rPr>
          <w:rFonts w:asciiTheme="minorHAnsi" w:hAnsiTheme="minorHAnsi" w:cstheme="minorHAnsi"/>
          <w:sz w:val="24"/>
          <w:szCs w:val="24"/>
        </w:rPr>
      </w:pPr>
    </w:p>
    <w:p w14:paraId="04DC65E7" w14:textId="77777777" w:rsidR="00494D64" w:rsidRPr="00173D4C" w:rsidRDefault="00494D64" w:rsidP="00494D64">
      <w:pPr>
        <w:rPr>
          <w:rFonts w:asciiTheme="minorHAnsi" w:hAnsiTheme="minorHAnsi" w:cstheme="minorHAnsi"/>
          <w:sz w:val="24"/>
          <w:szCs w:val="24"/>
        </w:rPr>
      </w:pPr>
    </w:p>
    <w:p w14:paraId="163DEF84" w14:textId="77777777" w:rsidR="00494D64" w:rsidRPr="00173D4C" w:rsidRDefault="00494D64" w:rsidP="00494D64">
      <w:pPr>
        <w:rPr>
          <w:rFonts w:asciiTheme="minorHAnsi" w:hAnsiTheme="minorHAnsi" w:cstheme="minorHAnsi"/>
          <w:sz w:val="24"/>
          <w:szCs w:val="24"/>
        </w:rPr>
      </w:pPr>
      <w:r w:rsidRPr="001537E2">
        <w:rPr>
          <w:rFonts w:asciiTheme="minorHAnsi" w:hAnsiTheme="minorHAnsi" w:cstheme="minorHAnsi"/>
          <w:noProof/>
          <w:szCs w:val="22"/>
          <w:lang w:eastAsia="en-GB"/>
        </w:rPr>
        <w:drawing>
          <wp:anchor distT="0" distB="0" distL="114300" distR="114300" simplePos="0" relativeHeight="251659264" behindDoc="1" locked="0" layoutInCell="1" allowOverlap="1" wp14:anchorId="53647B1D" wp14:editId="518F0B6F">
            <wp:simplePos x="0" y="0"/>
            <wp:positionH relativeFrom="margin">
              <wp:posOffset>1695450</wp:posOffset>
            </wp:positionH>
            <wp:positionV relativeFrom="paragraph">
              <wp:posOffset>41910</wp:posOffset>
            </wp:positionV>
            <wp:extent cx="2651760" cy="137414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6694" t="3635" r="36095" b="86385"/>
                    <a:stretch>
                      <a:fillRect/>
                    </a:stretch>
                  </pic:blipFill>
                  <pic:spPr bwMode="auto">
                    <a:xfrm>
                      <a:off x="0" y="0"/>
                      <a:ext cx="2651760" cy="137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A4EF4" w14:textId="77777777" w:rsidR="00494D64" w:rsidRPr="00173D4C" w:rsidRDefault="00494D64" w:rsidP="00494D64">
      <w:pPr>
        <w:rPr>
          <w:rFonts w:asciiTheme="minorHAnsi" w:hAnsiTheme="minorHAnsi" w:cstheme="minorHAnsi"/>
          <w:sz w:val="24"/>
          <w:szCs w:val="24"/>
        </w:rPr>
      </w:pPr>
    </w:p>
    <w:p w14:paraId="4953C2BA" w14:textId="77777777" w:rsidR="00494D64" w:rsidRPr="00173D4C" w:rsidRDefault="00494D64" w:rsidP="00494D64">
      <w:pPr>
        <w:rPr>
          <w:rFonts w:asciiTheme="minorHAnsi" w:hAnsiTheme="minorHAnsi" w:cstheme="minorHAnsi"/>
          <w:sz w:val="24"/>
          <w:szCs w:val="24"/>
        </w:rPr>
      </w:pPr>
    </w:p>
    <w:p w14:paraId="2D623C7A" w14:textId="77777777" w:rsidR="00494D64" w:rsidRPr="00173D4C" w:rsidRDefault="00494D64" w:rsidP="00494D64">
      <w:pPr>
        <w:rPr>
          <w:rFonts w:asciiTheme="minorHAnsi" w:hAnsiTheme="minorHAnsi" w:cstheme="minorHAnsi"/>
          <w:sz w:val="24"/>
          <w:szCs w:val="24"/>
        </w:rPr>
      </w:pPr>
    </w:p>
    <w:p w14:paraId="2CB6E52B" w14:textId="77777777" w:rsidR="00494D64" w:rsidRPr="00173D4C" w:rsidRDefault="00494D64" w:rsidP="00494D64">
      <w:pPr>
        <w:rPr>
          <w:rFonts w:asciiTheme="minorHAnsi" w:hAnsiTheme="minorHAnsi" w:cstheme="minorHAnsi"/>
          <w:sz w:val="24"/>
          <w:szCs w:val="24"/>
        </w:rPr>
      </w:pPr>
    </w:p>
    <w:p w14:paraId="7F827C15" w14:textId="77777777" w:rsidR="00494D64" w:rsidRPr="00173D4C" w:rsidRDefault="00494D64" w:rsidP="00494D64">
      <w:pPr>
        <w:rPr>
          <w:rFonts w:asciiTheme="minorHAnsi" w:hAnsiTheme="minorHAnsi" w:cstheme="minorHAnsi"/>
          <w:sz w:val="24"/>
          <w:szCs w:val="24"/>
        </w:rPr>
      </w:pPr>
    </w:p>
    <w:p w14:paraId="4BDF2D2F" w14:textId="77777777" w:rsidR="00494D64" w:rsidRPr="00173D4C" w:rsidRDefault="00494D64" w:rsidP="00494D64">
      <w:pPr>
        <w:rPr>
          <w:rFonts w:asciiTheme="minorHAnsi" w:hAnsiTheme="minorHAnsi" w:cstheme="minorHAnsi"/>
          <w:sz w:val="24"/>
          <w:szCs w:val="24"/>
        </w:rPr>
      </w:pPr>
    </w:p>
    <w:p w14:paraId="4BD55225" w14:textId="77777777" w:rsidR="00494D64" w:rsidRPr="00173D4C" w:rsidRDefault="00494D64" w:rsidP="00494D64">
      <w:pPr>
        <w:rPr>
          <w:rFonts w:asciiTheme="minorHAnsi" w:hAnsiTheme="minorHAnsi" w:cstheme="minorHAnsi"/>
          <w:sz w:val="24"/>
          <w:szCs w:val="24"/>
        </w:rPr>
      </w:pPr>
    </w:p>
    <w:p w14:paraId="51BD28C3" w14:textId="77777777" w:rsidR="00494D64" w:rsidRPr="00173D4C" w:rsidRDefault="00494D64" w:rsidP="00494D64">
      <w:pPr>
        <w:rPr>
          <w:rFonts w:asciiTheme="minorHAnsi" w:hAnsiTheme="minorHAnsi" w:cstheme="minorHAnsi"/>
          <w:sz w:val="24"/>
          <w:szCs w:val="24"/>
        </w:rPr>
      </w:pPr>
    </w:p>
    <w:p w14:paraId="60D19A14" w14:textId="77777777" w:rsidR="00494D64" w:rsidRPr="00173D4C" w:rsidRDefault="00494D64" w:rsidP="00494D64">
      <w:pPr>
        <w:rPr>
          <w:rFonts w:asciiTheme="minorHAnsi" w:hAnsiTheme="minorHAnsi" w:cstheme="minorHAnsi"/>
          <w:sz w:val="24"/>
          <w:szCs w:val="24"/>
        </w:rPr>
      </w:pPr>
    </w:p>
    <w:p w14:paraId="6410D7EA" w14:textId="77777777" w:rsidR="00494D64" w:rsidRPr="00173D4C" w:rsidRDefault="00494D64" w:rsidP="00494D64">
      <w:pPr>
        <w:jc w:val="center"/>
        <w:rPr>
          <w:rFonts w:asciiTheme="minorHAnsi" w:hAnsiTheme="minorHAnsi" w:cstheme="minorHAnsi"/>
          <w:b/>
          <w:sz w:val="36"/>
          <w:szCs w:val="36"/>
        </w:rPr>
      </w:pPr>
      <w:r w:rsidRPr="00173D4C">
        <w:rPr>
          <w:rFonts w:asciiTheme="minorHAnsi" w:hAnsiTheme="minorHAnsi" w:cstheme="minorHAnsi"/>
          <w:b/>
          <w:sz w:val="36"/>
          <w:szCs w:val="36"/>
        </w:rPr>
        <w:t>Early Career Teacher (ECT) Policy</w:t>
      </w:r>
    </w:p>
    <w:p w14:paraId="7538265D" w14:textId="77777777" w:rsidR="00494D64" w:rsidRPr="000209C7" w:rsidRDefault="00494D64" w:rsidP="00494D64">
      <w:pPr>
        <w:jc w:val="center"/>
        <w:rPr>
          <w:rFonts w:asciiTheme="minorHAnsi" w:hAnsiTheme="minorHAnsi" w:cstheme="minorHAnsi"/>
          <w:b/>
          <w:sz w:val="24"/>
          <w:szCs w:val="24"/>
        </w:rPr>
      </w:pPr>
      <w:r w:rsidRPr="000209C7">
        <w:rPr>
          <w:rFonts w:asciiTheme="minorHAnsi" w:hAnsiTheme="minorHAnsi" w:cstheme="minorHAnsi"/>
          <w:b/>
          <w:sz w:val="24"/>
          <w:szCs w:val="24"/>
        </w:rPr>
        <w:t>(Statutory)</w:t>
      </w:r>
    </w:p>
    <w:p w14:paraId="0624AF61" w14:textId="77777777" w:rsidR="00494D64" w:rsidRPr="00173D4C" w:rsidRDefault="00494D64" w:rsidP="00494D64">
      <w:pPr>
        <w:rPr>
          <w:rFonts w:asciiTheme="minorHAnsi" w:hAnsiTheme="minorHAnsi" w:cstheme="minorHAnsi"/>
          <w:sz w:val="24"/>
          <w:szCs w:val="24"/>
        </w:rPr>
      </w:pPr>
    </w:p>
    <w:p w14:paraId="4868DDCD" w14:textId="77777777" w:rsidR="00494D64" w:rsidRPr="00173D4C" w:rsidRDefault="00494D64" w:rsidP="00494D64">
      <w:pPr>
        <w:rPr>
          <w:rFonts w:asciiTheme="minorHAnsi" w:hAnsiTheme="minorHAnsi" w:cstheme="minorHAnsi"/>
          <w:sz w:val="24"/>
          <w:szCs w:val="24"/>
        </w:rPr>
      </w:pPr>
    </w:p>
    <w:p w14:paraId="7A11D8D6" w14:textId="789FFCE7" w:rsidR="00494D64" w:rsidRPr="00173D4C" w:rsidRDefault="00494D64" w:rsidP="00494D64">
      <w:pPr>
        <w:jc w:val="center"/>
        <w:rPr>
          <w:rFonts w:asciiTheme="minorHAnsi" w:hAnsiTheme="minorHAnsi" w:cstheme="minorHAnsi"/>
          <w:sz w:val="24"/>
          <w:szCs w:val="24"/>
        </w:rPr>
      </w:pPr>
      <w:r w:rsidRPr="00173D4C">
        <w:rPr>
          <w:rFonts w:asciiTheme="minorHAnsi" w:hAnsiTheme="minorHAnsi" w:cstheme="minorHAnsi"/>
          <w:sz w:val="24"/>
          <w:szCs w:val="24"/>
        </w:rPr>
        <w:t xml:space="preserve">Approved: </w:t>
      </w:r>
      <w:r w:rsidR="0059388A">
        <w:rPr>
          <w:rFonts w:asciiTheme="minorHAnsi" w:hAnsiTheme="minorHAnsi" w:cstheme="minorHAnsi"/>
          <w:sz w:val="24"/>
          <w:szCs w:val="24"/>
        </w:rPr>
        <w:t>Autumn 2023</w:t>
      </w:r>
    </w:p>
    <w:p w14:paraId="19B88201" w14:textId="704CA08D" w:rsidR="00494D64" w:rsidRPr="00173D4C" w:rsidRDefault="00494D64" w:rsidP="00494D64">
      <w:pPr>
        <w:jc w:val="center"/>
        <w:rPr>
          <w:rFonts w:asciiTheme="minorHAnsi" w:hAnsiTheme="minorHAnsi" w:cstheme="minorHAnsi"/>
          <w:sz w:val="24"/>
          <w:szCs w:val="24"/>
        </w:rPr>
      </w:pPr>
      <w:r w:rsidRPr="00173D4C">
        <w:rPr>
          <w:rFonts w:asciiTheme="minorHAnsi" w:hAnsiTheme="minorHAnsi" w:cstheme="minorHAnsi"/>
          <w:sz w:val="24"/>
          <w:szCs w:val="24"/>
        </w:rPr>
        <w:t xml:space="preserve">Date of Next Review: </w:t>
      </w:r>
      <w:r>
        <w:rPr>
          <w:rFonts w:asciiTheme="minorHAnsi" w:hAnsiTheme="minorHAnsi" w:cstheme="minorHAnsi"/>
          <w:sz w:val="24"/>
          <w:szCs w:val="24"/>
        </w:rPr>
        <w:t>Autumn 2025</w:t>
      </w:r>
    </w:p>
    <w:p w14:paraId="5660285E" w14:textId="77777777" w:rsidR="00494D64" w:rsidRPr="00173D4C" w:rsidRDefault="00494D64" w:rsidP="00494D64">
      <w:pPr>
        <w:jc w:val="center"/>
        <w:rPr>
          <w:rFonts w:asciiTheme="minorHAnsi" w:hAnsiTheme="minorHAnsi" w:cstheme="minorHAnsi"/>
          <w:sz w:val="24"/>
          <w:szCs w:val="24"/>
        </w:rPr>
      </w:pPr>
    </w:p>
    <w:p w14:paraId="41F98D58" w14:textId="77777777" w:rsidR="00494D64" w:rsidRPr="00173D4C" w:rsidRDefault="00494D64" w:rsidP="00494D64">
      <w:pPr>
        <w:pStyle w:val="Heading1"/>
        <w:tabs>
          <w:tab w:val="left" w:pos="900"/>
        </w:tabs>
        <w:spacing w:after="0"/>
        <w:jc w:val="center"/>
        <w:rPr>
          <w:rFonts w:asciiTheme="minorHAnsi" w:hAnsiTheme="minorHAnsi" w:cstheme="minorHAnsi"/>
          <w:sz w:val="24"/>
          <w:szCs w:val="24"/>
        </w:rPr>
      </w:pPr>
    </w:p>
    <w:p w14:paraId="1DB031BA" w14:textId="77777777" w:rsidR="00494D64" w:rsidRPr="00173D4C" w:rsidRDefault="00494D64" w:rsidP="00494D64">
      <w:pPr>
        <w:pStyle w:val="Heading1"/>
        <w:tabs>
          <w:tab w:val="left" w:pos="900"/>
        </w:tabs>
        <w:spacing w:after="0"/>
        <w:jc w:val="center"/>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494D64" w:rsidRPr="00173D4C" w14:paraId="7375D369" w14:textId="77777777" w:rsidTr="00FD0D69">
        <w:trPr>
          <w:jc w:val="center"/>
        </w:trPr>
        <w:tc>
          <w:tcPr>
            <w:tcW w:w="9239" w:type="dxa"/>
          </w:tcPr>
          <w:p w14:paraId="0B706E5C" w14:textId="77777777" w:rsidR="00494D64" w:rsidRPr="00173D4C" w:rsidRDefault="00494D64" w:rsidP="00494D64">
            <w:pPr>
              <w:jc w:val="center"/>
              <w:rPr>
                <w:rFonts w:asciiTheme="minorHAnsi" w:hAnsiTheme="minorHAnsi" w:cstheme="minorHAnsi"/>
                <w:b/>
                <w:sz w:val="24"/>
                <w:szCs w:val="24"/>
              </w:rPr>
            </w:pPr>
            <w:r w:rsidRPr="00173D4C">
              <w:rPr>
                <w:rFonts w:asciiTheme="minorHAnsi" w:hAnsiTheme="minorHAnsi" w:cstheme="minorHAnsi"/>
                <w:b/>
                <w:sz w:val="24"/>
                <w:szCs w:val="24"/>
              </w:rPr>
              <w:t>Equality Impact Assessment - Policy Review</w:t>
            </w:r>
          </w:p>
          <w:p w14:paraId="73468554" w14:textId="77777777" w:rsidR="00494D64" w:rsidRPr="00173D4C" w:rsidRDefault="00494D64" w:rsidP="00494D64">
            <w:pPr>
              <w:jc w:val="center"/>
              <w:rPr>
                <w:rFonts w:asciiTheme="minorHAnsi" w:hAnsiTheme="minorHAnsi" w:cstheme="minorHAnsi"/>
                <w:b/>
                <w:sz w:val="24"/>
                <w:szCs w:val="24"/>
              </w:rPr>
            </w:pPr>
            <w:r w:rsidRPr="00173D4C">
              <w:rPr>
                <w:rFonts w:asciiTheme="minorHAnsi" w:hAnsiTheme="minorHAnsi" w:cstheme="minorHAnsi"/>
                <w:b/>
                <w:sz w:val="24"/>
                <w:szCs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14:paraId="732A6E79" w14:textId="77777777" w:rsidR="00BE445B" w:rsidRPr="005C7AE5" w:rsidRDefault="00BE445B" w:rsidP="00494D64">
      <w:pPr>
        <w:pStyle w:val="BodyText"/>
        <w:spacing w:after="0"/>
        <w:rPr>
          <w:rFonts w:ascii="Arial" w:hAnsi="Arial" w:cs="Arial"/>
        </w:rPr>
        <w:sectPr w:rsidR="00BE445B" w:rsidRPr="005C7AE5" w:rsidSect="005B09A2">
          <w:footerReference w:type="even" r:id="rId9"/>
          <w:footerReference w:type="default" r:id="rId10"/>
          <w:pgSz w:w="12240" w:h="15840"/>
          <w:pgMar w:top="1440" w:right="1440" w:bottom="1440" w:left="1440" w:header="720" w:footer="720" w:gutter="0"/>
          <w:cols w:space="720"/>
          <w:titlePg/>
          <w:docGrid w:linePitch="360"/>
        </w:sectPr>
      </w:pPr>
    </w:p>
    <w:p w14:paraId="3DDD1DDB" w14:textId="77777777" w:rsidR="00BE445B" w:rsidRPr="00ED5BD6" w:rsidRDefault="00BE445B" w:rsidP="00494D64">
      <w:pPr>
        <w:pStyle w:val="TOCHeading"/>
        <w:spacing w:after="0"/>
        <w:rPr>
          <w:rFonts w:asciiTheme="minorHAnsi" w:hAnsiTheme="minorHAnsi" w:cstheme="minorHAnsi"/>
          <w:szCs w:val="22"/>
        </w:rPr>
      </w:pPr>
      <w:r w:rsidRPr="00ED5BD6">
        <w:rPr>
          <w:rFonts w:asciiTheme="minorHAnsi" w:hAnsiTheme="minorHAnsi" w:cstheme="minorHAnsi"/>
          <w:szCs w:val="22"/>
        </w:rPr>
        <w:lastRenderedPageBreak/>
        <w:t>Contents</w:t>
      </w:r>
    </w:p>
    <w:p w14:paraId="53758478" w14:textId="61432CF2" w:rsidR="00C94815" w:rsidRPr="00ED5BD6" w:rsidRDefault="000E3832" w:rsidP="00494D64">
      <w:pPr>
        <w:pStyle w:val="TOC1"/>
        <w:tabs>
          <w:tab w:val="left" w:pos="440"/>
          <w:tab w:val="right" w:leader="dot" w:pos="9350"/>
        </w:tabs>
        <w:spacing w:after="0"/>
        <w:rPr>
          <w:rFonts w:asciiTheme="minorHAnsi" w:hAnsiTheme="minorHAnsi" w:cstheme="minorHAnsi"/>
          <w:sz w:val="22"/>
          <w:szCs w:val="22"/>
        </w:rPr>
      </w:pPr>
      <w:r w:rsidRPr="00ED5BD6">
        <w:rPr>
          <w:rFonts w:asciiTheme="minorHAnsi" w:hAnsiTheme="minorHAnsi" w:cstheme="minorHAnsi"/>
          <w:sz w:val="22"/>
          <w:szCs w:val="22"/>
        </w:rPr>
        <w:fldChar w:fldCharType="begin"/>
      </w:r>
      <w:r w:rsidRPr="00ED5BD6">
        <w:rPr>
          <w:rFonts w:asciiTheme="minorHAnsi" w:hAnsiTheme="minorHAnsi" w:cstheme="minorHAnsi"/>
          <w:sz w:val="22"/>
          <w:szCs w:val="22"/>
        </w:rPr>
        <w:instrText xml:space="preserve"> TOC \h \z \u \t "Heading Level 1,1,Number Level 1,1,Sch  (1style) clause,1" </w:instrText>
      </w:r>
      <w:r w:rsidRPr="00ED5BD6">
        <w:rPr>
          <w:rFonts w:asciiTheme="minorHAnsi" w:hAnsiTheme="minorHAnsi" w:cstheme="minorHAnsi"/>
          <w:sz w:val="22"/>
          <w:szCs w:val="22"/>
        </w:rPr>
        <w:fldChar w:fldCharType="separate"/>
      </w:r>
      <w:hyperlink w:anchor="_Toc109387300" w:history="1">
        <w:r w:rsidR="00C94815" w:rsidRPr="00ED5BD6">
          <w:rPr>
            <w:rFonts w:asciiTheme="minorHAnsi" w:hAnsiTheme="minorHAnsi" w:cstheme="minorHAnsi"/>
            <w:sz w:val="22"/>
            <w:szCs w:val="22"/>
          </w:rPr>
          <w:t>1</w:t>
        </w:r>
        <w:r w:rsidR="00C94815" w:rsidRPr="00ED5BD6">
          <w:rPr>
            <w:rFonts w:asciiTheme="minorHAnsi" w:hAnsiTheme="minorHAnsi" w:cstheme="minorHAnsi"/>
            <w:sz w:val="22"/>
            <w:szCs w:val="22"/>
          </w:rPr>
          <w:tab/>
          <w:t>Introduction</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_Toc109387300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3</w:t>
        </w:r>
        <w:r w:rsidR="00C94815" w:rsidRPr="00ED5BD6">
          <w:rPr>
            <w:rFonts w:asciiTheme="minorHAnsi" w:hAnsiTheme="minorHAnsi" w:cstheme="minorHAnsi"/>
            <w:webHidden/>
            <w:sz w:val="22"/>
            <w:szCs w:val="22"/>
          </w:rPr>
          <w:fldChar w:fldCharType="end"/>
        </w:r>
      </w:hyperlink>
    </w:p>
    <w:p w14:paraId="5E67D4BF" w14:textId="61E3465D"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1" w:history="1">
        <w:r w:rsidR="00C94815" w:rsidRPr="00ED5BD6">
          <w:rPr>
            <w:rFonts w:asciiTheme="minorHAnsi" w:hAnsiTheme="minorHAnsi" w:cstheme="minorHAnsi"/>
            <w:sz w:val="22"/>
            <w:szCs w:val="22"/>
          </w:rPr>
          <w:t>2</w:t>
        </w:r>
        <w:r w:rsidR="00C94815" w:rsidRPr="00ED5BD6">
          <w:rPr>
            <w:rFonts w:asciiTheme="minorHAnsi" w:hAnsiTheme="minorHAnsi" w:cstheme="minorHAnsi"/>
            <w:sz w:val="22"/>
            <w:szCs w:val="22"/>
          </w:rPr>
          <w:tab/>
          <w:t>Scope and purpose of this policy</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_Toc109387301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3</w:t>
        </w:r>
        <w:r w:rsidR="00C94815" w:rsidRPr="00ED5BD6">
          <w:rPr>
            <w:rFonts w:asciiTheme="minorHAnsi" w:hAnsiTheme="minorHAnsi" w:cstheme="minorHAnsi"/>
            <w:webHidden/>
            <w:sz w:val="22"/>
            <w:szCs w:val="22"/>
          </w:rPr>
          <w:fldChar w:fldCharType="end"/>
        </w:r>
      </w:hyperlink>
    </w:p>
    <w:p w14:paraId="50598578" w14:textId="43B579CA"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2" w:history="1">
        <w:r w:rsidR="00C94815" w:rsidRPr="00ED5BD6">
          <w:rPr>
            <w:rFonts w:asciiTheme="minorHAnsi" w:hAnsiTheme="minorHAnsi" w:cstheme="minorHAnsi"/>
            <w:sz w:val="22"/>
            <w:szCs w:val="22"/>
          </w:rPr>
          <w:t>3</w:t>
        </w:r>
        <w:r w:rsidR="00C94815" w:rsidRPr="00ED5BD6">
          <w:rPr>
            <w:rFonts w:asciiTheme="minorHAnsi" w:hAnsiTheme="minorHAnsi" w:cstheme="minorHAnsi"/>
            <w:sz w:val="22"/>
            <w:szCs w:val="22"/>
          </w:rPr>
          <w:tab/>
          <w:t>Prior to starting induction</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_Toc109387302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3</w:t>
        </w:r>
        <w:r w:rsidR="00C94815" w:rsidRPr="00ED5BD6">
          <w:rPr>
            <w:rFonts w:asciiTheme="minorHAnsi" w:hAnsiTheme="minorHAnsi" w:cstheme="minorHAnsi"/>
            <w:webHidden/>
            <w:sz w:val="22"/>
            <w:szCs w:val="22"/>
          </w:rPr>
          <w:fldChar w:fldCharType="end"/>
        </w:r>
      </w:hyperlink>
    </w:p>
    <w:p w14:paraId="15621D85" w14:textId="2B9282AC"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3" w:history="1">
        <w:r w:rsidR="00C94815" w:rsidRPr="00ED5BD6">
          <w:rPr>
            <w:rFonts w:asciiTheme="minorHAnsi" w:hAnsiTheme="minorHAnsi" w:cstheme="minorHAnsi"/>
            <w:sz w:val="22"/>
            <w:szCs w:val="22"/>
          </w:rPr>
          <w:t>4</w:t>
        </w:r>
        <w:r w:rsidR="00C94815" w:rsidRPr="00ED5BD6">
          <w:rPr>
            <w:rFonts w:asciiTheme="minorHAnsi" w:hAnsiTheme="minorHAnsi" w:cstheme="minorHAnsi"/>
            <w:sz w:val="22"/>
            <w:szCs w:val="22"/>
          </w:rPr>
          <w:tab/>
          <w:t>The induction period</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_Toc109387303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4</w:t>
        </w:r>
        <w:r w:rsidR="00C94815" w:rsidRPr="00ED5BD6">
          <w:rPr>
            <w:rFonts w:asciiTheme="minorHAnsi" w:hAnsiTheme="minorHAnsi" w:cstheme="minorHAnsi"/>
            <w:webHidden/>
            <w:sz w:val="22"/>
            <w:szCs w:val="22"/>
          </w:rPr>
          <w:fldChar w:fldCharType="end"/>
        </w:r>
      </w:hyperlink>
    </w:p>
    <w:p w14:paraId="70133162" w14:textId="761656DB"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4" w:history="1">
        <w:r w:rsidR="00C94815" w:rsidRPr="00ED5BD6">
          <w:rPr>
            <w:rFonts w:asciiTheme="minorHAnsi" w:hAnsiTheme="minorHAnsi" w:cstheme="minorHAnsi"/>
            <w:sz w:val="22"/>
            <w:szCs w:val="22"/>
          </w:rPr>
          <w:t>5</w:t>
        </w:r>
        <w:r w:rsidR="00C94815" w:rsidRPr="00ED5BD6">
          <w:rPr>
            <w:rFonts w:asciiTheme="minorHAnsi" w:hAnsiTheme="minorHAnsi" w:cstheme="minorHAnsi"/>
            <w:sz w:val="22"/>
            <w:szCs w:val="22"/>
          </w:rPr>
          <w:tab/>
          <w:t>Monitoring, support and assessment during the induction period</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4</w:t>
        </w:r>
      </w:hyperlink>
    </w:p>
    <w:p w14:paraId="2B5A740A" w14:textId="6230C662"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5" w:history="1">
        <w:r w:rsidR="00C94815" w:rsidRPr="00ED5BD6">
          <w:rPr>
            <w:rFonts w:asciiTheme="minorHAnsi" w:hAnsiTheme="minorHAnsi" w:cstheme="minorHAnsi"/>
            <w:sz w:val="22"/>
            <w:szCs w:val="22"/>
          </w:rPr>
          <w:t>6</w:t>
        </w:r>
        <w:r w:rsidR="00C94815" w:rsidRPr="00ED5BD6">
          <w:rPr>
            <w:rFonts w:asciiTheme="minorHAnsi" w:hAnsiTheme="minorHAnsi" w:cstheme="minorHAnsi"/>
            <w:sz w:val="22"/>
            <w:szCs w:val="22"/>
          </w:rPr>
          <w:tab/>
          <w:t>Leaving or joining part way through induction</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5</w:t>
        </w:r>
      </w:hyperlink>
    </w:p>
    <w:p w14:paraId="48226BCA" w14:textId="7F6A93AD"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6" w:history="1">
        <w:r w:rsidR="00C94815" w:rsidRPr="00ED5BD6">
          <w:rPr>
            <w:rFonts w:asciiTheme="minorHAnsi" w:hAnsiTheme="minorHAnsi" w:cstheme="minorHAnsi"/>
            <w:sz w:val="22"/>
            <w:szCs w:val="22"/>
          </w:rPr>
          <w:t>7</w:t>
        </w:r>
        <w:r w:rsidR="00C94815" w:rsidRPr="00ED5BD6">
          <w:rPr>
            <w:rFonts w:asciiTheme="minorHAnsi" w:hAnsiTheme="minorHAnsi" w:cstheme="minorHAnsi"/>
            <w:sz w:val="22"/>
            <w:szCs w:val="22"/>
          </w:rPr>
          <w:tab/>
          <w:t>Absences during the induction period</w:t>
        </w:r>
        <w:r w:rsidR="00C94815" w:rsidRPr="00ED5BD6">
          <w:rPr>
            <w:rFonts w:asciiTheme="minorHAnsi" w:hAnsiTheme="minorHAnsi" w:cstheme="minorHAnsi"/>
            <w:webHidden/>
            <w:sz w:val="22"/>
            <w:szCs w:val="22"/>
          </w:rPr>
          <w:tab/>
        </w:r>
        <w:r w:rsidR="00C94815" w:rsidRPr="00ED5BD6">
          <w:rPr>
            <w:rFonts w:asciiTheme="minorHAnsi" w:hAnsiTheme="minorHAnsi" w:cstheme="minorHAnsi"/>
            <w:webHidden/>
            <w:sz w:val="22"/>
            <w:szCs w:val="22"/>
          </w:rPr>
          <w:fldChar w:fldCharType="begin"/>
        </w:r>
        <w:r w:rsidR="00C94815" w:rsidRPr="00ED5BD6">
          <w:rPr>
            <w:rFonts w:asciiTheme="minorHAnsi" w:hAnsiTheme="minorHAnsi" w:cstheme="minorHAnsi"/>
            <w:webHidden/>
            <w:sz w:val="22"/>
            <w:szCs w:val="22"/>
          </w:rPr>
          <w:instrText xml:space="preserve"> PAGEREF _Toc109387306 \h </w:instrText>
        </w:r>
        <w:r w:rsidR="00C94815" w:rsidRPr="00ED5BD6">
          <w:rPr>
            <w:rFonts w:asciiTheme="minorHAnsi" w:hAnsiTheme="minorHAnsi" w:cstheme="minorHAnsi"/>
            <w:webHidden/>
            <w:sz w:val="22"/>
            <w:szCs w:val="22"/>
          </w:rPr>
        </w:r>
        <w:r w:rsidR="00C94815" w:rsidRPr="00ED5BD6">
          <w:rPr>
            <w:rFonts w:asciiTheme="minorHAnsi" w:hAnsiTheme="minorHAnsi" w:cstheme="minorHAnsi"/>
            <w:webHidden/>
            <w:sz w:val="22"/>
            <w:szCs w:val="22"/>
          </w:rPr>
          <w:fldChar w:fldCharType="separate"/>
        </w:r>
        <w:r w:rsidR="00C94815" w:rsidRPr="00ED5BD6">
          <w:rPr>
            <w:rFonts w:asciiTheme="minorHAnsi" w:hAnsiTheme="minorHAnsi" w:cstheme="minorHAnsi"/>
            <w:webHidden/>
            <w:sz w:val="22"/>
            <w:szCs w:val="22"/>
          </w:rPr>
          <w:t>6</w:t>
        </w:r>
        <w:r w:rsidR="00C94815" w:rsidRPr="00ED5BD6">
          <w:rPr>
            <w:rFonts w:asciiTheme="minorHAnsi" w:hAnsiTheme="minorHAnsi" w:cstheme="minorHAnsi"/>
            <w:webHidden/>
            <w:sz w:val="22"/>
            <w:szCs w:val="22"/>
          </w:rPr>
          <w:fldChar w:fldCharType="end"/>
        </w:r>
      </w:hyperlink>
    </w:p>
    <w:p w14:paraId="6B8DFB26" w14:textId="47AD6F84"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7" w:history="1">
        <w:r w:rsidR="00C94815" w:rsidRPr="00ED5BD6">
          <w:rPr>
            <w:rFonts w:asciiTheme="minorHAnsi" w:hAnsiTheme="minorHAnsi" w:cstheme="minorHAnsi"/>
            <w:sz w:val="22"/>
            <w:szCs w:val="22"/>
          </w:rPr>
          <w:t>8</w:t>
        </w:r>
        <w:r w:rsidR="00C94815" w:rsidRPr="00ED5BD6">
          <w:rPr>
            <w:rFonts w:asciiTheme="minorHAnsi" w:hAnsiTheme="minorHAnsi" w:cstheme="minorHAnsi"/>
            <w:sz w:val="22"/>
            <w:szCs w:val="22"/>
          </w:rPr>
          <w:tab/>
          <w:t>Where there are concerns</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6</w:t>
        </w:r>
      </w:hyperlink>
    </w:p>
    <w:p w14:paraId="40E8C7AE" w14:textId="4C83E8A9"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8" w:history="1">
        <w:r w:rsidR="00C94815" w:rsidRPr="00ED5BD6">
          <w:rPr>
            <w:rFonts w:asciiTheme="minorHAnsi" w:hAnsiTheme="minorHAnsi" w:cstheme="minorHAnsi"/>
            <w:sz w:val="22"/>
            <w:szCs w:val="22"/>
          </w:rPr>
          <w:t>9</w:t>
        </w:r>
        <w:r w:rsidR="00C94815" w:rsidRPr="00ED5BD6">
          <w:rPr>
            <w:rFonts w:asciiTheme="minorHAnsi" w:hAnsiTheme="minorHAnsi" w:cstheme="minorHAnsi"/>
            <w:sz w:val="22"/>
            <w:szCs w:val="22"/>
          </w:rPr>
          <w:tab/>
          <w:t>Completion of the probation period</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7</w:t>
        </w:r>
      </w:hyperlink>
    </w:p>
    <w:p w14:paraId="3D414730" w14:textId="67B3B9B3"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09" w:history="1">
        <w:r w:rsidR="00C94815" w:rsidRPr="00ED5BD6">
          <w:rPr>
            <w:rFonts w:asciiTheme="minorHAnsi" w:hAnsiTheme="minorHAnsi" w:cstheme="minorHAnsi"/>
            <w:sz w:val="22"/>
            <w:szCs w:val="22"/>
          </w:rPr>
          <w:t>11</w:t>
        </w:r>
        <w:r w:rsidR="00C94815" w:rsidRPr="00ED5BD6">
          <w:rPr>
            <w:rFonts w:asciiTheme="minorHAnsi" w:hAnsiTheme="minorHAnsi" w:cstheme="minorHAnsi"/>
            <w:sz w:val="22"/>
            <w:szCs w:val="22"/>
          </w:rPr>
          <w:tab/>
          <w:t>Right of appeal to the Appeals Body</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8</w:t>
        </w:r>
      </w:hyperlink>
    </w:p>
    <w:p w14:paraId="0C54C246" w14:textId="33FDF38A"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10" w:history="1">
        <w:r w:rsidR="00C94815" w:rsidRPr="00ED5BD6">
          <w:rPr>
            <w:rFonts w:asciiTheme="minorHAnsi" w:hAnsiTheme="minorHAnsi" w:cstheme="minorHAnsi"/>
            <w:sz w:val="22"/>
            <w:szCs w:val="22"/>
          </w:rPr>
          <w:t>12</w:t>
        </w:r>
        <w:r w:rsidR="00C94815" w:rsidRPr="00ED5BD6">
          <w:rPr>
            <w:rFonts w:asciiTheme="minorHAnsi" w:hAnsiTheme="minorHAnsi" w:cstheme="minorHAnsi"/>
            <w:sz w:val="22"/>
            <w:szCs w:val="22"/>
          </w:rPr>
          <w:tab/>
          <w:t>Failure to complete induction and dismissal</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8</w:t>
        </w:r>
      </w:hyperlink>
    </w:p>
    <w:p w14:paraId="2AADB5FF" w14:textId="1276612F" w:rsidR="00C94815" w:rsidRPr="00ED5BD6" w:rsidRDefault="0059388A" w:rsidP="00494D64">
      <w:pPr>
        <w:pStyle w:val="TOC1"/>
        <w:tabs>
          <w:tab w:val="left" w:pos="440"/>
          <w:tab w:val="right" w:leader="dot" w:pos="9350"/>
        </w:tabs>
        <w:spacing w:after="0"/>
        <w:rPr>
          <w:rFonts w:asciiTheme="minorHAnsi" w:hAnsiTheme="minorHAnsi" w:cstheme="minorHAnsi"/>
          <w:sz w:val="22"/>
          <w:szCs w:val="22"/>
        </w:rPr>
      </w:pPr>
      <w:hyperlink w:anchor="_Toc109387311" w:history="1">
        <w:r w:rsidR="00C94815" w:rsidRPr="00ED5BD6">
          <w:rPr>
            <w:rFonts w:asciiTheme="minorHAnsi" w:hAnsiTheme="minorHAnsi" w:cstheme="minorHAnsi"/>
            <w:sz w:val="22"/>
            <w:szCs w:val="22"/>
          </w:rPr>
          <w:t>13</w:t>
        </w:r>
        <w:r w:rsidR="00C94815" w:rsidRPr="00ED5BD6">
          <w:rPr>
            <w:rFonts w:asciiTheme="minorHAnsi" w:hAnsiTheme="minorHAnsi" w:cstheme="minorHAnsi"/>
            <w:sz w:val="22"/>
            <w:szCs w:val="22"/>
          </w:rPr>
          <w:tab/>
          <w:t>General Principles Underlying This policy</w:t>
        </w:r>
        <w:r w:rsidR="00C94815" w:rsidRPr="00ED5BD6">
          <w:rPr>
            <w:rFonts w:asciiTheme="minorHAnsi" w:hAnsiTheme="minorHAnsi" w:cstheme="minorHAnsi"/>
            <w:webHidden/>
            <w:sz w:val="22"/>
            <w:szCs w:val="22"/>
          </w:rPr>
          <w:tab/>
        </w:r>
        <w:r w:rsidR="00ED5BD6" w:rsidRPr="00ED5BD6">
          <w:rPr>
            <w:rFonts w:asciiTheme="minorHAnsi" w:hAnsiTheme="minorHAnsi" w:cstheme="minorHAnsi"/>
            <w:webHidden/>
            <w:sz w:val="22"/>
            <w:szCs w:val="22"/>
          </w:rPr>
          <w:t>8</w:t>
        </w:r>
      </w:hyperlink>
    </w:p>
    <w:p w14:paraId="652BC4D0" w14:textId="617A1005" w:rsidR="00C94815" w:rsidRPr="00ED5BD6" w:rsidRDefault="00C94815" w:rsidP="00494D64">
      <w:pPr>
        <w:pStyle w:val="TOC1"/>
        <w:tabs>
          <w:tab w:val="left" w:pos="440"/>
          <w:tab w:val="right" w:leader="dot" w:pos="9350"/>
        </w:tabs>
        <w:spacing w:after="0"/>
        <w:rPr>
          <w:rFonts w:asciiTheme="minorHAnsi" w:eastAsiaTheme="minorEastAsia" w:hAnsiTheme="minorHAnsi" w:cstheme="minorHAnsi"/>
          <w:noProof/>
          <w:sz w:val="22"/>
          <w:szCs w:val="22"/>
          <w:lang w:eastAsia="en-GB"/>
        </w:rPr>
      </w:pPr>
    </w:p>
    <w:p w14:paraId="1981215F" w14:textId="5B2A3CD9" w:rsidR="00BE445B" w:rsidRPr="00ED5BD6" w:rsidRDefault="000E3832" w:rsidP="00494D64">
      <w:pPr>
        <w:rPr>
          <w:rFonts w:asciiTheme="minorHAnsi" w:hAnsiTheme="minorHAnsi" w:cstheme="minorHAnsi"/>
          <w:sz w:val="22"/>
          <w:szCs w:val="22"/>
        </w:rPr>
      </w:pPr>
      <w:r w:rsidRPr="00ED5BD6">
        <w:rPr>
          <w:rFonts w:asciiTheme="minorHAnsi" w:hAnsiTheme="minorHAnsi" w:cstheme="minorHAnsi"/>
          <w:sz w:val="22"/>
          <w:szCs w:val="22"/>
        </w:rPr>
        <w:fldChar w:fldCharType="end"/>
      </w:r>
    </w:p>
    <w:p w14:paraId="09E9FD7A" w14:textId="77777777" w:rsidR="001F4D07" w:rsidRPr="00ED5BD6" w:rsidRDefault="001F4D07" w:rsidP="00494D64">
      <w:pPr>
        <w:pStyle w:val="BodyText"/>
        <w:spacing w:after="0"/>
        <w:rPr>
          <w:rFonts w:asciiTheme="minorHAnsi" w:hAnsiTheme="minorHAnsi" w:cstheme="minorHAnsi"/>
          <w:sz w:val="22"/>
          <w:szCs w:val="22"/>
        </w:rPr>
      </w:pPr>
    </w:p>
    <w:p w14:paraId="70ADDB21" w14:textId="77777777" w:rsidR="00BE445B" w:rsidRPr="00ED5BD6" w:rsidRDefault="00BE445B" w:rsidP="00494D64">
      <w:pPr>
        <w:pStyle w:val="BodyText"/>
        <w:spacing w:after="0"/>
        <w:rPr>
          <w:rFonts w:asciiTheme="minorHAnsi" w:hAnsiTheme="minorHAnsi" w:cstheme="minorHAnsi"/>
          <w:sz w:val="22"/>
          <w:szCs w:val="22"/>
        </w:rPr>
      </w:pPr>
    </w:p>
    <w:p w14:paraId="58BC6877" w14:textId="77777777" w:rsidR="00BE445B" w:rsidRPr="00ED5BD6" w:rsidRDefault="00BE445B" w:rsidP="00494D64">
      <w:pPr>
        <w:pStyle w:val="BodyText"/>
        <w:spacing w:after="0"/>
        <w:rPr>
          <w:rFonts w:asciiTheme="minorHAnsi" w:hAnsiTheme="minorHAnsi" w:cstheme="minorHAnsi"/>
          <w:sz w:val="22"/>
          <w:szCs w:val="22"/>
        </w:rPr>
        <w:sectPr w:rsidR="00BE445B" w:rsidRPr="00ED5BD6">
          <w:footerReference w:type="default" r:id="rId11"/>
          <w:pgSz w:w="12240" w:h="15840"/>
          <w:pgMar w:top="1440" w:right="1440" w:bottom="1440" w:left="1440" w:header="720" w:footer="720" w:gutter="0"/>
          <w:cols w:space="720"/>
          <w:docGrid w:linePitch="360"/>
        </w:sectPr>
      </w:pPr>
    </w:p>
    <w:p w14:paraId="4F007139" w14:textId="77777777" w:rsidR="00023BA0" w:rsidRPr="00494D64" w:rsidRDefault="009F5CD1" w:rsidP="00494D64">
      <w:pPr>
        <w:pStyle w:val="HeadingLevel1"/>
        <w:spacing w:before="0" w:after="0"/>
        <w:rPr>
          <w:rFonts w:asciiTheme="minorHAnsi" w:hAnsiTheme="minorHAnsi" w:cstheme="minorHAnsi"/>
          <w:sz w:val="22"/>
        </w:rPr>
      </w:pPr>
      <w:bookmarkStart w:id="7" w:name="_Toc109387300"/>
      <w:r w:rsidRPr="00494D64">
        <w:rPr>
          <w:rFonts w:asciiTheme="minorHAnsi" w:hAnsiTheme="minorHAnsi" w:cstheme="minorHAnsi"/>
          <w:sz w:val="22"/>
        </w:rPr>
        <w:lastRenderedPageBreak/>
        <w:t>Introduction</w:t>
      </w:r>
      <w:bookmarkEnd w:id="7"/>
    </w:p>
    <w:p w14:paraId="5F04894C" w14:textId="46B8A203" w:rsidR="00F17133" w:rsidRDefault="00494D64" w:rsidP="00494D64">
      <w:pPr>
        <w:pStyle w:val="HeadingLevel2"/>
        <w:spacing w:after="0"/>
        <w:rPr>
          <w:rFonts w:asciiTheme="minorHAnsi" w:hAnsiTheme="minorHAnsi" w:cstheme="minorHAnsi"/>
          <w:sz w:val="22"/>
        </w:rPr>
      </w:pPr>
      <w:r w:rsidRPr="00494D64">
        <w:rPr>
          <w:rFonts w:asciiTheme="minorHAnsi" w:hAnsiTheme="minorHAnsi" w:cstheme="minorHAnsi"/>
          <w:sz w:val="22"/>
        </w:rPr>
        <w:t>The Roseland Multi Academy Trust [Trust]</w:t>
      </w:r>
      <w:r w:rsidR="00D848E9" w:rsidRPr="00494D64">
        <w:rPr>
          <w:rFonts w:asciiTheme="minorHAnsi" w:hAnsiTheme="minorHAnsi" w:cstheme="minorHAnsi"/>
          <w:sz w:val="22"/>
        </w:rPr>
        <w:t xml:space="preserve"> offers induction to </w:t>
      </w:r>
      <w:r w:rsidR="005C10FC" w:rsidRPr="00494D64">
        <w:rPr>
          <w:rFonts w:asciiTheme="minorHAnsi" w:hAnsiTheme="minorHAnsi" w:cstheme="minorHAnsi"/>
          <w:sz w:val="22"/>
        </w:rPr>
        <w:t>early career</w:t>
      </w:r>
      <w:r w:rsidR="00D848E9" w:rsidRPr="00494D64">
        <w:rPr>
          <w:rFonts w:asciiTheme="minorHAnsi" w:hAnsiTheme="minorHAnsi" w:cstheme="minorHAnsi"/>
          <w:sz w:val="22"/>
        </w:rPr>
        <w:t xml:space="preserve"> teachers</w:t>
      </w:r>
      <w:r w:rsidR="00204A2C" w:rsidRPr="00494D64">
        <w:rPr>
          <w:rFonts w:asciiTheme="minorHAnsi" w:hAnsiTheme="minorHAnsi" w:cstheme="minorHAnsi"/>
          <w:sz w:val="22"/>
        </w:rPr>
        <w:t xml:space="preserve"> (</w:t>
      </w:r>
      <w:r w:rsidR="005C10FC" w:rsidRPr="00494D64">
        <w:rPr>
          <w:rFonts w:asciiTheme="minorHAnsi" w:hAnsiTheme="minorHAnsi" w:cstheme="minorHAnsi"/>
          <w:sz w:val="22"/>
        </w:rPr>
        <w:t>ECT</w:t>
      </w:r>
      <w:r w:rsidR="00204A2C" w:rsidRPr="00494D64">
        <w:rPr>
          <w:rFonts w:asciiTheme="minorHAnsi" w:hAnsiTheme="minorHAnsi" w:cstheme="minorHAnsi"/>
          <w:sz w:val="22"/>
        </w:rPr>
        <w:t>s)</w:t>
      </w:r>
      <w:r w:rsidR="00D848E9" w:rsidRPr="00494D64">
        <w:rPr>
          <w:rFonts w:asciiTheme="minorHAnsi" w:hAnsiTheme="minorHAnsi" w:cstheme="minorHAnsi"/>
          <w:sz w:val="22"/>
        </w:rPr>
        <w:t xml:space="preserve">.  This policy sets out how we aim to manage this personalised programme to support </w:t>
      </w:r>
      <w:r w:rsidR="00E321AD" w:rsidRPr="00494D64">
        <w:rPr>
          <w:rFonts w:asciiTheme="minorHAnsi" w:hAnsiTheme="minorHAnsi" w:cstheme="minorHAnsi"/>
          <w:sz w:val="22"/>
        </w:rPr>
        <w:t>an</w:t>
      </w:r>
      <w:r w:rsidR="00D848E9" w:rsidRPr="00494D64">
        <w:rPr>
          <w:rFonts w:asciiTheme="minorHAnsi" w:hAnsiTheme="minorHAnsi" w:cstheme="minorHAnsi"/>
          <w:sz w:val="22"/>
        </w:rPr>
        <w:t xml:space="preserve"> </w:t>
      </w:r>
      <w:r w:rsidR="005C10FC" w:rsidRPr="00494D64">
        <w:rPr>
          <w:rFonts w:asciiTheme="minorHAnsi" w:hAnsiTheme="minorHAnsi" w:cstheme="minorHAnsi"/>
          <w:sz w:val="22"/>
        </w:rPr>
        <w:t>early career</w:t>
      </w:r>
      <w:r w:rsidR="00D848E9" w:rsidRPr="00494D64">
        <w:rPr>
          <w:rFonts w:asciiTheme="minorHAnsi" w:hAnsiTheme="minorHAnsi" w:cstheme="minorHAnsi"/>
          <w:sz w:val="22"/>
        </w:rPr>
        <w:t xml:space="preserve"> teacher during the</w:t>
      </w:r>
      <w:r w:rsidR="00204A2C" w:rsidRPr="00494D64">
        <w:rPr>
          <w:rFonts w:asciiTheme="minorHAnsi" w:hAnsiTheme="minorHAnsi" w:cstheme="minorHAnsi"/>
          <w:sz w:val="22"/>
        </w:rPr>
        <w:t xml:space="preserve">ir induction, to satisfactorily meet the Teachers’ Standards by the end of this period. </w:t>
      </w:r>
      <w:r w:rsidR="005C10FC" w:rsidRPr="00494D64">
        <w:rPr>
          <w:rFonts w:asciiTheme="minorHAnsi" w:hAnsiTheme="minorHAnsi" w:cstheme="minorHAnsi"/>
          <w:sz w:val="22"/>
        </w:rPr>
        <w:t xml:space="preserve">This induction will be underpinned by the provisions of the </w:t>
      </w:r>
      <w:r w:rsidR="00E321AD" w:rsidRPr="00494D64">
        <w:rPr>
          <w:rFonts w:asciiTheme="minorHAnsi" w:hAnsiTheme="minorHAnsi" w:cstheme="minorHAnsi"/>
          <w:sz w:val="22"/>
        </w:rPr>
        <w:t>E</w:t>
      </w:r>
      <w:r w:rsidR="005C10FC" w:rsidRPr="00494D64">
        <w:rPr>
          <w:rFonts w:asciiTheme="minorHAnsi" w:hAnsiTheme="minorHAnsi" w:cstheme="minorHAnsi"/>
          <w:sz w:val="22"/>
        </w:rPr>
        <w:t xml:space="preserve">arly </w:t>
      </w:r>
      <w:r w:rsidR="00E321AD" w:rsidRPr="00494D64">
        <w:rPr>
          <w:rFonts w:asciiTheme="minorHAnsi" w:hAnsiTheme="minorHAnsi" w:cstheme="minorHAnsi"/>
          <w:sz w:val="22"/>
        </w:rPr>
        <w:t>C</w:t>
      </w:r>
      <w:r w:rsidR="005C10FC" w:rsidRPr="00494D64">
        <w:rPr>
          <w:rFonts w:asciiTheme="minorHAnsi" w:hAnsiTheme="minorHAnsi" w:cstheme="minorHAnsi"/>
          <w:sz w:val="22"/>
        </w:rPr>
        <w:t xml:space="preserve">areer </w:t>
      </w:r>
      <w:r w:rsidR="00E321AD" w:rsidRPr="00494D64">
        <w:rPr>
          <w:rFonts w:asciiTheme="minorHAnsi" w:hAnsiTheme="minorHAnsi" w:cstheme="minorHAnsi"/>
          <w:sz w:val="22"/>
        </w:rPr>
        <w:t>F</w:t>
      </w:r>
      <w:r w:rsidR="005C10FC" w:rsidRPr="00494D64">
        <w:rPr>
          <w:rFonts w:asciiTheme="minorHAnsi" w:hAnsiTheme="minorHAnsi" w:cstheme="minorHAnsi"/>
          <w:sz w:val="22"/>
        </w:rPr>
        <w:t>ramework (ECF).</w:t>
      </w:r>
    </w:p>
    <w:p w14:paraId="342C298D" w14:textId="77777777" w:rsidR="00494D64" w:rsidRPr="00494D64" w:rsidRDefault="00494D64" w:rsidP="00494D64">
      <w:pPr>
        <w:pStyle w:val="HeadingLevel2"/>
        <w:numPr>
          <w:ilvl w:val="0"/>
          <w:numId w:val="0"/>
        </w:numPr>
        <w:spacing w:after="0"/>
        <w:ind w:left="720"/>
        <w:rPr>
          <w:rFonts w:asciiTheme="minorHAnsi" w:hAnsiTheme="minorHAnsi" w:cstheme="minorHAnsi"/>
          <w:sz w:val="22"/>
        </w:rPr>
      </w:pPr>
    </w:p>
    <w:p w14:paraId="4C141089" w14:textId="77777777" w:rsidR="00D848E9" w:rsidRPr="00494D64" w:rsidRDefault="00204A2C" w:rsidP="00494D64">
      <w:pPr>
        <w:pStyle w:val="HeadingLevel1"/>
        <w:spacing w:before="0" w:after="0"/>
        <w:rPr>
          <w:rFonts w:asciiTheme="minorHAnsi" w:hAnsiTheme="minorHAnsi" w:cstheme="minorHAnsi"/>
          <w:sz w:val="22"/>
        </w:rPr>
      </w:pPr>
      <w:bookmarkStart w:id="8" w:name="_Toc109387301"/>
      <w:r w:rsidRPr="00494D64">
        <w:rPr>
          <w:rFonts w:asciiTheme="minorHAnsi" w:hAnsiTheme="minorHAnsi" w:cstheme="minorHAnsi"/>
          <w:sz w:val="22"/>
        </w:rPr>
        <w:t>Scope and purpose of this policy</w:t>
      </w:r>
      <w:bookmarkEnd w:id="8"/>
    </w:p>
    <w:p w14:paraId="38CB2F23" w14:textId="5E7A763E" w:rsidR="00204A2C" w:rsidRPr="00494D64" w:rsidRDefault="00204A2C" w:rsidP="00494D64">
      <w:pPr>
        <w:pStyle w:val="HeadingLevel2"/>
        <w:spacing w:after="0"/>
        <w:rPr>
          <w:rFonts w:asciiTheme="minorHAnsi" w:hAnsiTheme="minorHAnsi" w:cstheme="minorHAnsi"/>
          <w:sz w:val="22"/>
        </w:rPr>
      </w:pPr>
      <w:r w:rsidRPr="00494D64">
        <w:rPr>
          <w:rFonts w:asciiTheme="minorHAnsi" w:hAnsiTheme="minorHAnsi" w:cstheme="minorHAnsi"/>
          <w:sz w:val="22"/>
        </w:rPr>
        <w:t>This policy has been developed to comply with current</w:t>
      </w:r>
      <w:r w:rsidR="00DE17D2" w:rsidRPr="00494D64">
        <w:rPr>
          <w:rFonts w:asciiTheme="minorHAnsi" w:hAnsiTheme="minorHAnsi" w:cstheme="minorHAnsi"/>
          <w:sz w:val="22"/>
        </w:rPr>
        <w:t xml:space="preserve"> relevant</w:t>
      </w:r>
      <w:r w:rsidRPr="00494D64">
        <w:rPr>
          <w:rFonts w:asciiTheme="minorHAnsi" w:hAnsiTheme="minorHAnsi" w:cstheme="minorHAnsi"/>
          <w:sz w:val="22"/>
        </w:rPr>
        <w:t xml:space="preserve"> legislation and the statutory guidance ‘Induction for </w:t>
      </w:r>
      <w:r w:rsidR="005C10FC" w:rsidRPr="00494D64">
        <w:rPr>
          <w:rFonts w:asciiTheme="minorHAnsi" w:hAnsiTheme="minorHAnsi" w:cstheme="minorHAnsi"/>
          <w:sz w:val="22"/>
        </w:rPr>
        <w:t>early career</w:t>
      </w:r>
      <w:r w:rsidRPr="00494D64">
        <w:rPr>
          <w:rFonts w:asciiTheme="minorHAnsi" w:hAnsiTheme="minorHAnsi" w:cstheme="minorHAnsi"/>
          <w:sz w:val="22"/>
        </w:rPr>
        <w:t xml:space="preserve"> teachers (England)’. </w:t>
      </w:r>
    </w:p>
    <w:p w14:paraId="77A4BCF4" w14:textId="0C37CCAC" w:rsidR="00204A2C" w:rsidRDefault="00204A2C" w:rsidP="00494D64">
      <w:pPr>
        <w:pStyle w:val="HeadingLevel2"/>
        <w:spacing w:after="0"/>
        <w:rPr>
          <w:rFonts w:asciiTheme="minorHAnsi" w:hAnsiTheme="minorHAnsi" w:cstheme="minorHAnsi"/>
          <w:sz w:val="22"/>
        </w:rPr>
      </w:pPr>
      <w:r w:rsidRPr="00494D64">
        <w:rPr>
          <w:rFonts w:asciiTheme="minorHAnsi" w:hAnsiTheme="minorHAnsi" w:cstheme="minorHAnsi"/>
          <w:sz w:val="22"/>
        </w:rPr>
        <w:t>This policy does not form part of any employee's contract of employment and may be amended at any time.</w:t>
      </w:r>
    </w:p>
    <w:p w14:paraId="53B396A2" w14:textId="77777777" w:rsidR="00494D64" w:rsidRPr="00494D64" w:rsidRDefault="00494D64" w:rsidP="00494D64">
      <w:pPr>
        <w:pStyle w:val="HeadingLevel2"/>
        <w:numPr>
          <w:ilvl w:val="0"/>
          <w:numId w:val="0"/>
        </w:numPr>
        <w:spacing w:after="0"/>
        <w:ind w:left="720"/>
        <w:rPr>
          <w:rFonts w:asciiTheme="minorHAnsi" w:hAnsiTheme="minorHAnsi" w:cstheme="minorHAnsi"/>
          <w:sz w:val="22"/>
        </w:rPr>
      </w:pPr>
    </w:p>
    <w:p w14:paraId="05F1CFE2" w14:textId="77777777" w:rsidR="009E0737" w:rsidRPr="00494D64" w:rsidRDefault="009E0737" w:rsidP="00494D64">
      <w:pPr>
        <w:pStyle w:val="HeadingLevel1"/>
        <w:spacing w:before="0" w:after="0"/>
        <w:rPr>
          <w:rFonts w:asciiTheme="minorHAnsi" w:hAnsiTheme="minorHAnsi" w:cstheme="minorHAnsi"/>
          <w:sz w:val="22"/>
        </w:rPr>
      </w:pPr>
      <w:bookmarkStart w:id="9" w:name="_Toc109387302"/>
      <w:r w:rsidRPr="00494D64">
        <w:rPr>
          <w:rFonts w:asciiTheme="minorHAnsi" w:hAnsiTheme="minorHAnsi" w:cstheme="minorHAnsi"/>
          <w:sz w:val="22"/>
        </w:rPr>
        <w:t>Prior to starting induction</w:t>
      </w:r>
      <w:bookmarkEnd w:id="9"/>
      <w:r w:rsidRPr="00494D64">
        <w:rPr>
          <w:rFonts w:asciiTheme="minorHAnsi" w:hAnsiTheme="minorHAnsi" w:cstheme="minorHAnsi"/>
          <w:sz w:val="22"/>
        </w:rPr>
        <w:t xml:space="preserve"> </w:t>
      </w:r>
    </w:p>
    <w:p w14:paraId="28C0D2AA" w14:textId="1F7B7C30" w:rsidR="009E0737" w:rsidRPr="00494D64" w:rsidRDefault="00494D64" w:rsidP="00494D64">
      <w:pPr>
        <w:pStyle w:val="HeadingLevel2"/>
        <w:spacing w:after="0"/>
        <w:rPr>
          <w:rFonts w:asciiTheme="minorHAnsi" w:hAnsiTheme="minorHAnsi" w:cstheme="minorHAnsi"/>
          <w:sz w:val="22"/>
        </w:rPr>
      </w:pPr>
      <w:r>
        <w:rPr>
          <w:rFonts w:asciiTheme="minorHAnsi" w:hAnsiTheme="minorHAnsi" w:cstheme="minorHAnsi"/>
          <w:sz w:val="22"/>
        </w:rPr>
        <w:t xml:space="preserve">We will follow </w:t>
      </w:r>
      <w:r w:rsidRPr="00494D64">
        <w:rPr>
          <w:rFonts w:asciiTheme="minorHAnsi" w:hAnsiTheme="minorHAnsi" w:cstheme="minorHAnsi"/>
          <w:sz w:val="22"/>
        </w:rPr>
        <w:t xml:space="preserve">our </w:t>
      </w:r>
      <w:r w:rsidR="009E0737" w:rsidRPr="00494D64">
        <w:rPr>
          <w:rFonts w:asciiTheme="minorHAnsi" w:hAnsiTheme="minorHAnsi" w:cstheme="minorHAnsi"/>
          <w:sz w:val="22"/>
        </w:rPr>
        <w:t xml:space="preserve">Recruitment </w:t>
      </w:r>
      <w:r w:rsidRPr="00494D64">
        <w:rPr>
          <w:rFonts w:asciiTheme="minorHAnsi" w:hAnsiTheme="minorHAnsi" w:cstheme="minorHAnsi"/>
          <w:sz w:val="22"/>
        </w:rPr>
        <w:t>&amp;</w:t>
      </w:r>
      <w:r w:rsidR="009E0737" w:rsidRPr="00494D64">
        <w:rPr>
          <w:rFonts w:asciiTheme="minorHAnsi" w:hAnsiTheme="minorHAnsi" w:cstheme="minorHAnsi"/>
          <w:sz w:val="22"/>
        </w:rPr>
        <w:t xml:space="preserve"> Selection Policy in the recruitment of an </w:t>
      </w:r>
      <w:r w:rsidR="005C10FC" w:rsidRPr="00494D64">
        <w:rPr>
          <w:rFonts w:asciiTheme="minorHAnsi" w:hAnsiTheme="minorHAnsi" w:cstheme="minorHAnsi"/>
          <w:sz w:val="22"/>
        </w:rPr>
        <w:t>ECT</w:t>
      </w:r>
      <w:r w:rsidR="009E0737" w:rsidRPr="00494D64">
        <w:rPr>
          <w:rFonts w:asciiTheme="minorHAnsi" w:hAnsiTheme="minorHAnsi" w:cstheme="minorHAnsi"/>
          <w:sz w:val="22"/>
        </w:rPr>
        <w:t>, including carrying out all</w:t>
      </w:r>
      <w:r w:rsidR="00AC39CF" w:rsidRPr="00494D64">
        <w:rPr>
          <w:rFonts w:asciiTheme="minorHAnsi" w:hAnsiTheme="minorHAnsi" w:cstheme="minorHAnsi"/>
          <w:sz w:val="22"/>
        </w:rPr>
        <w:t xml:space="preserve"> </w:t>
      </w:r>
      <w:r w:rsidR="00820E9F" w:rsidRPr="00494D64">
        <w:rPr>
          <w:rFonts w:asciiTheme="minorHAnsi" w:hAnsiTheme="minorHAnsi" w:cstheme="minorHAnsi"/>
          <w:sz w:val="22"/>
        </w:rPr>
        <w:t xml:space="preserve">relevant pre-employment checks and </w:t>
      </w:r>
      <w:r w:rsidR="00AC39CF" w:rsidRPr="00494D64">
        <w:rPr>
          <w:rFonts w:asciiTheme="minorHAnsi" w:hAnsiTheme="minorHAnsi" w:cstheme="minorHAnsi"/>
          <w:sz w:val="22"/>
        </w:rPr>
        <w:t xml:space="preserve">that the </w:t>
      </w:r>
      <w:r w:rsidR="005C10FC" w:rsidRPr="00494D64">
        <w:rPr>
          <w:rFonts w:asciiTheme="minorHAnsi" w:hAnsiTheme="minorHAnsi" w:cstheme="minorHAnsi"/>
          <w:sz w:val="22"/>
        </w:rPr>
        <w:t>ECT</w:t>
      </w:r>
      <w:r w:rsidR="00AC39CF" w:rsidRPr="00494D64">
        <w:rPr>
          <w:rFonts w:asciiTheme="minorHAnsi" w:hAnsiTheme="minorHAnsi" w:cstheme="minorHAnsi"/>
          <w:sz w:val="22"/>
        </w:rPr>
        <w:t xml:space="preserve"> has been awarded QTS.</w:t>
      </w:r>
      <w:r w:rsidR="00294626" w:rsidRPr="00494D64">
        <w:rPr>
          <w:rFonts w:asciiTheme="minorHAnsi" w:hAnsiTheme="minorHAnsi" w:cstheme="minorHAnsi"/>
          <w:sz w:val="22"/>
        </w:rPr>
        <w:t xml:space="preserve">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should provide evidence that they have QTS and are eligible to start induction.  </w:t>
      </w:r>
    </w:p>
    <w:p w14:paraId="085E9B21" w14:textId="594ED354" w:rsidR="009E0737" w:rsidRPr="00494D64" w:rsidRDefault="00313D57" w:rsidP="00494D64">
      <w:pPr>
        <w:pStyle w:val="HeadingLevel2"/>
        <w:spacing w:after="0"/>
        <w:rPr>
          <w:rFonts w:asciiTheme="minorHAnsi" w:hAnsiTheme="minorHAnsi" w:cstheme="minorHAnsi"/>
          <w:sz w:val="22"/>
        </w:rPr>
      </w:pPr>
      <w:r w:rsidRPr="00494D64">
        <w:rPr>
          <w:rFonts w:asciiTheme="minorHAnsi" w:hAnsiTheme="minorHAnsi" w:cstheme="minorHAnsi"/>
          <w:sz w:val="22"/>
        </w:rPr>
        <w:t>We will identify and agree an organisation to act as the appropriate body</w:t>
      </w:r>
      <w:r w:rsidR="005C10FC" w:rsidRPr="00494D64">
        <w:rPr>
          <w:rFonts w:asciiTheme="minorHAnsi" w:hAnsiTheme="minorHAnsi" w:cstheme="minorHAnsi"/>
          <w:sz w:val="22"/>
        </w:rPr>
        <w:t xml:space="preserve"> in accordance with the guidance</w:t>
      </w:r>
      <w:r w:rsidRPr="00494D64">
        <w:rPr>
          <w:rFonts w:asciiTheme="minorHAnsi" w:hAnsiTheme="minorHAnsi" w:cstheme="minorHAnsi"/>
          <w:sz w:val="22"/>
        </w:rPr>
        <w:t xml:space="preserve"> and will notify them of the appointment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t>
      </w:r>
      <w:r w:rsidR="009E0737" w:rsidRPr="00494D64">
        <w:rPr>
          <w:rFonts w:asciiTheme="minorHAnsi" w:hAnsiTheme="minorHAnsi" w:cstheme="minorHAnsi"/>
          <w:sz w:val="22"/>
        </w:rPr>
        <w:t xml:space="preserve">The appropriate body, who has the main quality assurance role within the induction process, will determine a start date for induction which will be agreed with us and the </w:t>
      </w:r>
      <w:r w:rsidR="005C10FC" w:rsidRPr="00494D64">
        <w:rPr>
          <w:rFonts w:asciiTheme="minorHAnsi" w:hAnsiTheme="minorHAnsi" w:cstheme="minorHAnsi"/>
          <w:sz w:val="22"/>
        </w:rPr>
        <w:t>ECT</w:t>
      </w:r>
      <w:r w:rsidR="009E0737" w:rsidRPr="00494D64">
        <w:rPr>
          <w:rFonts w:asciiTheme="minorHAnsi" w:hAnsiTheme="minorHAnsi" w:cstheme="minorHAnsi"/>
          <w:sz w:val="22"/>
        </w:rPr>
        <w:t xml:space="preserve"> in advance.</w:t>
      </w:r>
      <w:r w:rsidR="00AC39CF" w:rsidRPr="00494D64">
        <w:rPr>
          <w:rFonts w:asciiTheme="minorHAnsi" w:hAnsiTheme="minorHAnsi" w:cstheme="minorHAnsi"/>
          <w:sz w:val="22"/>
        </w:rPr>
        <w:t xml:space="preserve">  The appropriate body</w:t>
      </w:r>
      <w:r w:rsidR="00294626" w:rsidRPr="00494D64">
        <w:rPr>
          <w:rFonts w:asciiTheme="minorHAnsi" w:hAnsiTheme="minorHAnsi" w:cstheme="minorHAnsi"/>
          <w:sz w:val="22"/>
        </w:rPr>
        <w:t xml:space="preserve"> should provide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with a named contact with whom to raise concerns that they are unable to resolve via their induction tutor (see 3.5, below), and </w:t>
      </w:r>
      <w:r w:rsidR="00AC39CF" w:rsidRPr="00494D64">
        <w:rPr>
          <w:rFonts w:asciiTheme="minorHAnsi" w:hAnsiTheme="minorHAnsi" w:cstheme="minorHAnsi"/>
          <w:sz w:val="22"/>
        </w:rPr>
        <w:t xml:space="preserve">will </w:t>
      </w:r>
      <w:r w:rsidRPr="00494D64">
        <w:rPr>
          <w:rFonts w:asciiTheme="minorHAnsi" w:hAnsiTheme="minorHAnsi" w:cstheme="minorHAnsi"/>
          <w:sz w:val="22"/>
        </w:rPr>
        <w:t>also notify the Teaching Regulation Agency</w:t>
      </w:r>
      <w:r w:rsidR="00294626" w:rsidRPr="00494D64">
        <w:rPr>
          <w:rFonts w:asciiTheme="minorHAnsi" w:hAnsiTheme="minorHAnsi" w:cstheme="minorHAnsi"/>
          <w:sz w:val="22"/>
        </w:rPr>
        <w:t xml:space="preserve"> (TRA) of the </w:t>
      </w:r>
      <w:r w:rsidR="005C10FC" w:rsidRPr="00494D64">
        <w:rPr>
          <w:rFonts w:asciiTheme="minorHAnsi" w:hAnsiTheme="minorHAnsi" w:cstheme="minorHAnsi"/>
          <w:sz w:val="22"/>
        </w:rPr>
        <w:t>ECT</w:t>
      </w:r>
      <w:r w:rsidR="00294626" w:rsidRPr="00494D64">
        <w:rPr>
          <w:rFonts w:asciiTheme="minorHAnsi" w:hAnsiTheme="minorHAnsi" w:cstheme="minorHAnsi"/>
          <w:sz w:val="22"/>
        </w:rPr>
        <w:t>’s appointment.</w:t>
      </w:r>
    </w:p>
    <w:p w14:paraId="3071EC86" w14:textId="2D12685C" w:rsidR="00AC39CF" w:rsidRPr="00494D64" w:rsidRDefault="00AC39C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w:t>
      </w:r>
      <w:r w:rsidR="00310151">
        <w:rPr>
          <w:rFonts w:asciiTheme="minorHAnsi" w:hAnsiTheme="minorHAnsi" w:cstheme="minorHAnsi"/>
          <w:sz w:val="22"/>
        </w:rPr>
        <w:t>Headteacher</w:t>
      </w:r>
      <w:r w:rsidR="009E0737" w:rsidRPr="00494D64">
        <w:rPr>
          <w:rFonts w:asciiTheme="minorHAnsi" w:hAnsiTheme="minorHAnsi" w:cstheme="minorHAnsi"/>
          <w:sz w:val="22"/>
        </w:rPr>
        <w:t xml:space="preserve"> will agree with the appropriate body whether or not the post that it is intended the </w:t>
      </w:r>
      <w:r w:rsidR="005C10FC" w:rsidRPr="00494D64">
        <w:rPr>
          <w:rFonts w:asciiTheme="minorHAnsi" w:hAnsiTheme="minorHAnsi" w:cstheme="minorHAnsi"/>
          <w:sz w:val="22"/>
        </w:rPr>
        <w:t>ECT</w:t>
      </w:r>
      <w:r w:rsidR="009E0737" w:rsidRPr="00494D64">
        <w:rPr>
          <w:rFonts w:asciiTheme="minorHAnsi" w:hAnsiTheme="minorHAnsi" w:cstheme="minorHAnsi"/>
          <w:sz w:val="22"/>
        </w:rPr>
        <w:t xml:space="preserve"> will serve induction in is suitable</w:t>
      </w:r>
      <w:r w:rsidR="00AE5614" w:rsidRPr="00494D64">
        <w:rPr>
          <w:rFonts w:asciiTheme="minorHAnsi" w:hAnsiTheme="minorHAnsi" w:cstheme="minorHAnsi"/>
          <w:sz w:val="22"/>
        </w:rPr>
        <w:t xml:space="preserve"> for this purpose</w:t>
      </w:r>
      <w:r w:rsidR="009E0737" w:rsidRPr="00494D64">
        <w:rPr>
          <w:rFonts w:asciiTheme="minorHAnsi" w:hAnsiTheme="minorHAnsi" w:cstheme="minorHAnsi"/>
          <w:sz w:val="22"/>
        </w:rPr>
        <w:t xml:space="preserve">, in order to facilitate a fair and effective assessment of the </w:t>
      </w:r>
      <w:r w:rsidR="005C10FC" w:rsidRPr="00494D64">
        <w:rPr>
          <w:rFonts w:asciiTheme="minorHAnsi" w:hAnsiTheme="minorHAnsi" w:cstheme="minorHAnsi"/>
          <w:sz w:val="22"/>
        </w:rPr>
        <w:t>ECT</w:t>
      </w:r>
      <w:r w:rsidR="009E0737" w:rsidRPr="00494D64">
        <w:rPr>
          <w:rFonts w:asciiTheme="minorHAnsi" w:hAnsiTheme="minorHAnsi" w:cstheme="minorHAnsi"/>
          <w:sz w:val="22"/>
        </w:rPr>
        <w:t xml:space="preserve"> against the </w:t>
      </w:r>
      <w:r w:rsidR="00EC0AB2" w:rsidRPr="00494D64">
        <w:rPr>
          <w:rFonts w:asciiTheme="minorHAnsi" w:hAnsiTheme="minorHAnsi" w:cstheme="minorHAnsi"/>
          <w:sz w:val="22"/>
        </w:rPr>
        <w:t>Teachers’ Standards</w:t>
      </w:r>
      <w:r w:rsidR="009E0737" w:rsidRPr="00494D64">
        <w:rPr>
          <w:rFonts w:asciiTheme="minorHAnsi" w:hAnsiTheme="minorHAnsi" w:cstheme="minorHAnsi"/>
          <w:sz w:val="22"/>
        </w:rPr>
        <w:t>.  This will include ensuring that</w:t>
      </w:r>
      <w:r w:rsidRPr="00494D64">
        <w:rPr>
          <w:rFonts w:asciiTheme="minorHAnsi" w:hAnsiTheme="minorHAnsi" w:cstheme="minorHAnsi"/>
          <w:sz w:val="22"/>
        </w:rPr>
        <w:t xml:space="preserve"> the post:</w:t>
      </w:r>
    </w:p>
    <w:p w14:paraId="1D8B989D" w14:textId="4698ADAD" w:rsidR="00AC39CF" w:rsidRPr="00494D64" w:rsidRDefault="00781E6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provides the necessary tasks, experience and support to demonstrate satisfactory performance against the </w:t>
      </w:r>
      <w:r w:rsidR="00EC0AB2" w:rsidRPr="00494D64">
        <w:rPr>
          <w:rFonts w:asciiTheme="minorHAnsi" w:hAnsiTheme="minorHAnsi" w:cstheme="minorHAnsi"/>
          <w:sz w:val="22"/>
        </w:rPr>
        <w:t>Teachers’ Standards</w:t>
      </w:r>
      <w:r w:rsidR="00AC39CF" w:rsidRPr="00494D64">
        <w:rPr>
          <w:rFonts w:asciiTheme="minorHAnsi" w:hAnsiTheme="minorHAnsi" w:cstheme="minorHAnsi"/>
          <w:sz w:val="22"/>
        </w:rPr>
        <w:t>;</w:t>
      </w:r>
    </w:p>
    <w:p w14:paraId="6967484F" w14:textId="516EE80F" w:rsidR="00E321AD" w:rsidRPr="00494D64" w:rsidRDefault="00E321AD" w:rsidP="00494D64">
      <w:pPr>
        <w:pStyle w:val="HeadingLevel3"/>
        <w:spacing w:after="0"/>
        <w:rPr>
          <w:rFonts w:asciiTheme="minorHAnsi" w:hAnsiTheme="minorHAnsi" w:cstheme="minorHAnsi"/>
          <w:sz w:val="22"/>
        </w:rPr>
      </w:pPr>
      <w:r w:rsidRPr="00494D64">
        <w:rPr>
          <w:rFonts w:asciiTheme="minorHAnsi" w:hAnsiTheme="minorHAnsi" w:cstheme="minorHAnsi"/>
          <w:sz w:val="22"/>
        </w:rPr>
        <w:t>will provide the ECT with an ECF based induction programme;</w:t>
      </w:r>
    </w:p>
    <w:p w14:paraId="0F6A80E7" w14:textId="6A4B9592" w:rsidR="00AC39CF" w:rsidRPr="00494D64" w:rsidRDefault="00AC39CF"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will not make unreasonable demands upon the </w:t>
      </w:r>
      <w:r w:rsidR="005C10FC" w:rsidRPr="00494D64">
        <w:rPr>
          <w:rFonts w:asciiTheme="minorHAnsi" w:hAnsiTheme="minorHAnsi" w:cstheme="minorHAnsi"/>
          <w:sz w:val="22"/>
        </w:rPr>
        <w:t>ECT</w:t>
      </w:r>
      <w:r w:rsidRPr="00494D64">
        <w:rPr>
          <w:rFonts w:asciiTheme="minorHAnsi" w:hAnsiTheme="minorHAnsi" w:cstheme="minorHAnsi"/>
          <w:sz w:val="22"/>
        </w:rPr>
        <w:t>;</w:t>
      </w:r>
    </w:p>
    <w:p w14:paraId="03DFC46F" w14:textId="70B5E611" w:rsidR="00AC39CF" w:rsidRPr="00494D64" w:rsidRDefault="00781E6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will </w:t>
      </w:r>
      <w:r w:rsidR="00313D57" w:rsidRPr="00494D64">
        <w:rPr>
          <w:rFonts w:asciiTheme="minorHAnsi" w:hAnsiTheme="minorHAnsi" w:cstheme="minorHAnsi"/>
          <w:sz w:val="22"/>
        </w:rPr>
        <w:t xml:space="preserve">involve the </w:t>
      </w:r>
      <w:r w:rsidR="005C10FC" w:rsidRPr="00494D64">
        <w:rPr>
          <w:rFonts w:asciiTheme="minorHAnsi" w:hAnsiTheme="minorHAnsi" w:cstheme="minorHAnsi"/>
          <w:sz w:val="22"/>
        </w:rPr>
        <w:t>ECT</w:t>
      </w:r>
      <w:r w:rsidR="00313D57" w:rsidRPr="00494D64">
        <w:rPr>
          <w:rFonts w:asciiTheme="minorHAnsi" w:hAnsiTheme="minorHAnsi" w:cstheme="minorHAnsi"/>
          <w:sz w:val="22"/>
        </w:rPr>
        <w:t xml:space="preserve"> regularly teaching the same classes, normally within the age range and</w:t>
      </w:r>
      <w:r w:rsidR="00AE5614" w:rsidRPr="00494D64">
        <w:rPr>
          <w:rFonts w:asciiTheme="minorHAnsi" w:hAnsiTheme="minorHAnsi" w:cstheme="minorHAnsi"/>
          <w:sz w:val="22"/>
        </w:rPr>
        <w:t>/or</w:t>
      </w:r>
      <w:r w:rsidR="00313D57" w:rsidRPr="00494D64">
        <w:rPr>
          <w:rFonts w:asciiTheme="minorHAnsi" w:hAnsiTheme="minorHAnsi" w:cstheme="minorHAnsi"/>
          <w:sz w:val="22"/>
        </w:rPr>
        <w:t xml:space="preserve"> subject of </w:t>
      </w:r>
      <w:r w:rsidR="00AC39CF" w:rsidRPr="00494D64">
        <w:rPr>
          <w:rFonts w:asciiTheme="minorHAnsi" w:hAnsiTheme="minorHAnsi" w:cstheme="minorHAnsi"/>
          <w:sz w:val="22"/>
        </w:rPr>
        <w:t xml:space="preserve">the post that they </w:t>
      </w:r>
      <w:r w:rsidR="00AE5614" w:rsidRPr="00494D64">
        <w:rPr>
          <w:rFonts w:asciiTheme="minorHAnsi" w:hAnsiTheme="minorHAnsi" w:cstheme="minorHAnsi"/>
          <w:sz w:val="22"/>
        </w:rPr>
        <w:t>have been employed to teach</w:t>
      </w:r>
      <w:r w:rsidR="00AC39CF" w:rsidRPr="00494D64">
        <w:rPr>
          <w:rFonts w:asciiTheme="minorHAnsi" w:hAnsiTheme="minorHAnsi" w:cstheme="minorHAnsi"/>
          <w:sz w:val="22"/>
        </w:rPr>
        <w:t>;</w:t>
      </w:r>
    </w:p>
    <w:p w14:paraId="3A7F97BD" w14:textId="412BF0B8" w:rsidR="00AC39CF" w:rsidRPr="00494D64" w:rsidRDefault="00313D57"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involve similar </w:t>
      </w:r>
      <w:r w:rsidR="00AC39CF" w:rsidRPr="00494D64">
        <w:rPr>
          <w:rFonts w:asciiTheme="minorHAnsi" w:hAnsiTheme="minorHAnsi" w:cstheme="minorHAnsi"/>
          <w:sz w:val="22"/>
        </w:rPr>
        <w:t xml:space="preserve">planning, </w:t>
      </w:r>
      <w:r w:rsidRPr="00494D64">
        <w:rPr>
          <w:rFonts w:asciiTheme="minorHAnsi" w:hAnsiTheme="minorHAnsi" w:cstheme="minorHAnsi"/>
          <w:sz w:val="22"/>
        </w:rPr>
        <w:t>preparation</w:t>
      </w:r>
      <w:r w:rsidR="00AC39CF" w:rsidRPr="00494D64">
        <w:rPr>
          <w:rFonts w:asciiTheme="minorHAnsi" w:hAnsiTheme="minorHAnsi" w:cstheme="minorHAnsi"/>
          <w:sz w:val="22"/>
        </w:rPr>
        <w:t xml:space="preserve"> and assessment processes</w:t>
      </w:r>
      <w:r w:rsidRPr="00494D64">
        <w:rPr>
          <w:rFonts w:asciiTheme="minorHAnsi" w:hAnsiTheme="minorHAnsi" w:cstheme="minorHAnsi"/>
          <w:sz w:val="22"/>
        </w:rPr>
        <w:t xml:space="preserve"> to other teacher</w:t>
      </w:r>
      <w:r w:rsidR="00AC39CF" w:rsidRPr="00494D64">
        <w:rPr>
          <w:rFonts w:asciiTheme="minorHAnsi" w:hAnsiTheme="minorHAnsi" w:cstheme="minorHAnsi"/>
          <w:sz w:val="22"/>
        </w:rPr>
        <w:t>s in the</w:t>
      </w:r>
      <w:r w:rsidR="00335D3B">
        <w:rPr>
          <w:rFonts w:asciiTheme="minorHAnsi" w:hAnsiTheme="minorHAnsi" w:cstheme="minorHAnsi"/>
          <w:sz w:val="22"/>
        </w:rPr>
        <w:t xml:space="preserve"> school</w:t>
      </w:r>
      <w:r w:rsidR="00AC39CF" w:rsidRPr="00494D64">
        <w:rPr>
          <w:rFonts w:asciiTheme="minorHAnsi" w:hAnsiTheme="minorHAnsi" w:cstheme="minorHAnsi"/>
          <w:sz w:val="22"/>
        </w:rPr>
        <w:t>;</w:t>
      </w:r>
    </w:p>
    <w:p w14:paraId="4BECF717" w14:textId="1D00F53D" w:rsidR="00AC39CF" w:rsidRPr="00494D64" w:rsidRDefault="00313D57"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will not present unreasonably demanding discipline problems on a </w:t>
      </w:r>
      <w:r w:rsidR="006B1417" w:rsidRPr="00494D64">
        <w:rPr>
          <w:rFonts w:asciiTheme="minorHAnsi" w:hAnsiTheme="minorHAnsi" w:cstheme="minorHAnsi"/>
          <w:sz w:val="22"/>
        </w:rPr>
        <w:t>day-to-day</w:t>
      </w:r>
      <w:r w:rsidRPr="00494D64">
        <w:rPr>
          <w:rFonts w:asciiTheme="minorHAnsi" w:hAnsiTheme="minorHAnsi" w:cstheme="minorHAnsi"/>
          <w:sz w:val="22"/>
        </w:rPr>
        <w:t xml:space="preserve"> basis</w:t>
      </w:r>
      <w:r w:rsidR="00AC39CF" w:rsidRPr="00494D64">
        <w:rPr>
          <w:rFonts w:asciiTheme="minorHAnsi" w:hAnsiTheme="minorHAnsi" w:cstheme="minorHAnsi"/>
          <w:sz w:val="22"/>
        </w:rPr>
        <w:t>;</w:t>
      </w:r>
    </w:p>
    <w:p w14:paraId="5CD0077E" w14:textId="77777777" w:rsidR="009E0737" w:rsidRPr="00494D64" w:rsidRDefault="00AC39CF" w:rsidP="00494D64">
      <w:pPr>
        <w:pStyle w:val="HeadingLevel3"/>
        <w:spacing w:after="0"/>
        <w:rPr>
          <w:rFonts w:asciiTheme="minorHAnsi" w:hAnsiTheme="minorHAnsi" w:cstheme="minorHAnsi"/>
          <w:sz w:val="22"/>
        </w:rPr>
      </w:pPr>
      <w:r w:rsidRPr="00494D64">
        <w:rPr>
          <w:rFonts w:asciiTheme="minorHAnsi" w:hAnsiTheme="minorHAnsi" w:cstheme="minorHAnsi"/>
          <w:sz w:val="22"/>
        </w:rPr>
        <w:t>will not involve additional non-teaching responsibilities without appropriate preparation and support</w:t>
      </w:r>
      <w:r w:rsidR="00820E9F" w:rsidRPr="00494D64">
        <w:rPr>
          <w:rFonts w:asciiTheme="minorHAnsi" w:hAnsiTheme="minorHAnsi" w:cstheme="minorHAnsi"/>
          <w:sz w:val="22"/>
        </w:rPr>
        <w:t>.</w:t>
      </w:r>
    </w:p>
    <w:p w14:paraId="33BC5A52" w14:textId="2485AA50" w:rsidR="00AC39CF" w:rsidRPr="00494D64" w:rsidRDefault="00AC39C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We will also ensure that </w:t>
      </w:r>
      <w:r w:rsidR="005C10FC" w:rsidRPr="00494D64">
        <w:rPr>
          <w:rFonts w:asciiTheme="minorHAnsi" w:hAnsiTheme="minorHAnsi" w:cstheme="minorHAnsi"/>
          <w:sz w:val="22"/>
        </w:rPr>
        <w:t xml:space="preserve">in the first year of induction </w:t>
      </w:r>
      <w:r w:rsidR="007002AE" w:rsidRPr="00494D64">
        <w:rPr>
          <w:rFonts w:asciiTheme="minorHAnsi" w:hAnsiTheme="minorHAnsi" w:cstheme="minorHAnsi"/>
          <w:sz w:val="22"/>
        </w:rPr>
        <w:t xml:space="preserve">(terms 1-3) </w:t>
      </w:r>
      <w:r w:rsidRPr="00494D64">
        <w:rPr>
          <w:rFonts w:asciiTheme="minorHAnsi" w:hAnsiTheme="minorHAnsi" w:cstheme="minorHAnsi"/>
          <w:sz w:val="22"/>
        </w:rPr>
        <w:t>there will be a reduced timetable of no more than 90% of other main pay range teachers to undertake induction activities.</w:t>
      </w:r>
      <w:r w:rsidR="005C10FC" w:rsidRPr="00494D64">
        <w:rPr>
          <w:rFonts w:asciiTheme="minorHAnsi" w:hAnsiTheme="minorHAnsi" w:cstheme="minorHAnsi"/>
          <w:sz w:val="22"/>
        </w:rPr>
        <w:t xml:space="preserve"> In addition, during the second year</w:t>
      </w:r>
      <w:r w:rsidR="0053086E" w:rsidRPr="00494D64">
        <w:rPr>
          <w:rFonts w:asciiTheme="minorHAnsi" w:hAnsiTheme="minorHAnsi" w:cstheme="minorHAnsi"/>
          <w:sz w:val="22"/>
        </w:rPr>
        <w:t xml:space="preserve"> </w:t>
      </w:r>
      <w:r w:rsidR="007002AE" w:rsidRPr="00494D64">
        <w:rPr>
          <w:rFonts w:asciiTheme="minorHAnsi" w:hAnsiTheme="minorHAnsi" w:cstheme="minorHAnsi"/>
          <w:sz w:val="22"/>
        </w:rPr>
        <w:t xml:space="preserve">(terms 4-6) </w:t>
      </w:r>
      <w:r w:rsidR="0053086E" w:rsidRPr="00494D64">
        <w:rPr>
          <w:rFonts w:asciiTheme="minorHAnsi" w:hAnsiTheme="minorHAnsi" w:cstheme="minorHAnsi"/>
          <w:sz w:val="22"/>
        </w:rPr>
        <w:t>there will be a reduced timetable of no more than</w:t>
      </w:r>
      <w:r w:rsidR="007002AE" w:rsidRPr="00494D64">
        <w:rPr>
          <w:rFonts w:asciiTheme="minorHAnsi" w:hAnsiTheme="minorHAnsi" w:cstheme="minorHAnsi"/>
          <w:sz w:val="22"/>
        </w:rPr>
        <w:t xml:space="preserve"> 95% of other main pay range teachers to undertake induction activities.  </w:t>
      </w:r>
      <w:r w:rsidRPr="00494D64">
        <w:rPr>
          <w:rFonts w:asciiTheme="minorHAnsi" w:hAnsiTheme="minorHAnsi" w:cstheme="minorHAnsi"/>
          <w:sz w:val="22"/>
        </w:rPr>
        <w:t xml:space="preserve"> </w:t>
      </w:r>
      <w:r w:rsidR="00EA7C9D"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00EA7C9D" w:rsidRPr="00494D64">
        <w:rPr>
          <w:rFonts w:asciiTheme="minorHAnsi" w:hAnsiTheme="minorHAnsi" w:cstheme="minorHAnsi"/>
          <w:sz w:val="22"/>
        </w:rPr>
        <w:t xml:space="preserve"> will agree with their induction tutor how best to use their reduced timetable allowance.  </w:t>
      </w:r>
      <w:r w:rsidRPr="00494D64">
        <w:rPr>
          <w:rFonts w:asciiTheme="minorHAnsi" w:hAnsiTheme="minorHAnsi" w:cstheme="minorHAnsi"/>
          <w:sz w:val="22"/>
        </w:rPr>
        <w:t>T</w:t>
      </w:r>
      <w:r w:rsidR="007002AE" w:rsidRPr="00494D64">
        <w:rPr>
          <w:rFonts w:asciiTheme="minorHAnsi" w:hAnsiTheme="minorHAnsi" w:cstheme="minorHAnsi"/>
          <w:sz w:val="22"/>
        </w:rPr>
        <w:t>h</w:t>
      </w:r>
      <w:r w:rsidRPr="00494D64">
        <w:rPr>
          <w:rFonts w:asciiTheme="minorHAnsi" w:hAnsiTheme="minorHAnsi" w:cstheme="minorHAnsi"/>
          <w:sz w:val="22"/>
        </w:rPr>
        <w:t xml:space="preserve">is is in addition to the timetable reduction received for planning, preparation and assessment </w:t>
      </w:r>
      <w:r w:rsidR="00AE5614" w:rsidRPr="00494D64">
        <w:rPr>
          <w:rFonts w:asciiTheme="minorHAnsi" w:hAnsiTheme="minorHAnsi" w:cstheme="minorHAnsi"/>
          <w:sz w:val="22"/>
        </w:rPr>
        <w:t xml:space="preserve">(PPA) </w:t>
      </w:r>
      <w:r w:rsidRPr="00494D64">
        <w:rPr>
          <w:rFonts w:asciiTheme="minorHAnsi" w:hAnsiTheme="minorHAnsi" w:cstheme="minorHAnsi"/>
          <w:sz w:val="22"/>
        </w:rPr>
        <w:t>time.</w:t>
      </w:r>
    </w:p>
    <w:p w14:paraId="5BE1C4B1" w14:textId="66C254BC" w:rsidR="009E0737" w:rsidRPr="00494D64" w:rsidRDefault="005E4893"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w:t>
      </w:r>
      <w:r w:rsidR="00335D3B">
        <w:rPr>
          <w:rFonts w:asciiTheme="minorHAnsi" w:hAnsiTheme="minorHAnsi" w:cstheme="minorHAnsi"/>
          <w:sz w:val="22"/>
        </w:rPr>
        <w:t>Headteacher</w:t>
      </w:r>
      <w:r w:rsidR="009E0737" w:rsidRPr="00494D64">
        <w:rPr>
          <w:rFonts w:asciiTheme="minorHAnsi" w:hAnsiTheme="minorHAnsi" w:cstheme="minorHAnsi"/>
          <w:sz w:val="22"/>
        </w:rPr>
        <w:t xml:space="preserve"> will appoint an induction tutor </w:t>
      </w:r>
      <w:r w:rsidR="00313D57" w:rsidRPr="00494D64">
        <w:rPr>
          <w:rFonts w:asciiTheme="minorHAnsi" w:hAnsiTheme="minorHAnsi" w:cstheme="minorHAnsi"/>
          <w:sz w:val="22"/>
        </w:rPr>
        <w:t xml:space="preserve">for the </w:t>
      </w:r>
      <w:r w:rsidR="005C10FC" w:rsidRPr="00494D64">
        <w:rPr>
          <w:rFonts w:asciiTheme="minorHAnsi" w:hAnsiTheme="minorHAnsi" w:cstheme="minorHAnsi"/>
          <w:sz w:val="22"/>
        </w:rPr>
        <w:t>ECT</w:t>
      </w:r>
      <w:r w:rsidR="00313D57" w:rsidRPr="00494D64">
        <w:rPr>
          <w:rFonts w:asciiTheme="minorHAnsi" w:hAnsiTheme="minorHAnsi" w:cstheme="minorHAnsi"/>
          <w:sz w:val="22"/>
        </w:rPr>
        <w:t xml:space="preserve"> </w:t>
      </w:r>
      <w:r w:rsidR="00715DB3" w:rsidRPr="00494D64">
        <w:rPr>
          <w:rFonts w:asciiTheme="minorHAnsi" w:hAnsiTheme="minorHAnsi" w:cstheme="minorHAnsi"/>
          <w:sz w:val="22"/>
        </w:rPr>
        <w:t xml:space="preserve">who is expected to hold </w:t>
      </w:r>
      <w:r w:rsidRPr="00494D64">
        <w:rPr>
          <w:rFonts w:asciiTheme="minorHAnsi" w:hAnsiTheme="minorHAnsi" w:cstheme="minorHAnsi"/>
          <w:sz w:val="22"/>
        </w:rPr>
        <w:t>QTS</w:t>
      </w:r>
      <w:r w:rsidR="00820E9F" w:rsidRPr="00494D64">
        <w:rPr>
          <w:rFonts w:asciiTheme="minorHAnsi" w:hAnsiTheme="minorHAnsi" w:cstheme="minorHAnsi"/>
          <w:sz w:val="22"/>
        </w:rPr>
        <w:t>,</w:t>
      </w:r>
      <w:r w:rsidRPr="00494D64">
        <w:rPr>
          <w:rFonts w:asciiTheme="minorHAnsi" w:hAnsiTheme="minorHAnsi" w:cstheme="minorHAnsi"/>
          <w:sz w:val="22"/>
        </w:rPr>
        <w:t xml:space="preserve"> </w:t>
      </w:r>
      <w:r w:rsidR="00715DB3" w:rsidRPr="00494D64">
        <w:rPr>
          <w:rFonts w:asciiTheme="minorHAnsi" w:hAnsiTheme="minorHAnsi" w:cstheme="minorHAnsi"/>
          <w:sz w:val="22"/>
        </w:rPr>
        <w:t xml:space="preserve">and </w:t>
      </w:r>
      <w:r w:rsidR="00820E9F" w:rsidRPr="00494D64">
        <w:rPr>
          <w:rFonts w:asciiTheme="minorHAnsi" w:hAnsiTheme="minorHAnsi" w:cstheme="minorHAnsi"/>
          <w:sz w:val="22"/>
        </w:rPr>
        <w:t>who has</w:t>
      </w:r>
      <w:r w:rsidRPr="00494D64">
        <w:rPr>
          <w:rFonts w:asciiTheme="minorHAnsi" w:hAnsiTheme="minorHAnsi" w:cstheme="minorHAnsi"/>
          <w:sz w:val="22"/>
        </w:rPr>
        <w:t xml:space="preserve"> the necessary skills and knowledge to provide </w:t>
      </w:r>
      <w:r w:rsidR="00715DB3" w:rsidRPr="00494D64">
        <w:rPr>
          <w:rFonts w:asciiTheme="minorHAnsi" w:hAnsiTheme="minorHAnsi" w:cstheme="minorHAnsi"/>
          <w:sz w:val="22"/>
        </w:rPr>
        <w:t>regular support and guidance</w:t>
      </w:r>
      <w:r w:rsidR="004A0AD4" w:rsidRPr="00494D64">
        <w:rPr>
          <w:rFonts w:asciiTheme="minorHAnsi" w:hAnsiTheme="minorHAnsi" w:cstheme="minorHAnsi"/>
          <w:sz w:val="22"/>
        </w:rPr>
        <w:t xml:space="preserve"> and assess the ECT’s progress against the Teachers’ Standards</w:t>
      </w:r>
      <w:r w:rsidR="00294626" w:rsidRPr="00494D64">
        <w:rPr>
          <w:rFonts w:asciiTheme="minorHAnsi" w:hAnsiTheme="minorHAnsi" w:cstheme="minorHAnsi"/>
          <w:sz w:val="22"/>
        </w:rPr>
        <w:t>, and will ensure that they are appropriately trained and have sufficient time to carry out the role effectively.  This</w:t>
      </w:r>
      <w:r w:rsidR="00820E9F" w:rsidRPr="00494D64">
        <w:rPr>
          <w:rFonts w:asciiTheme="minorHAnsi" w:hAnsiTheme="minorHAnsi" w:cstheme="minorHAnsi"/>
          <w:sz w:val="22"/>
        </w:rPr>
        <w:t xml:space="preserve"> role</w:t>
      </w:r>
      <w:r w:rsidR="00294626" w:rsidRPr="00494D64">
        <w:rPr>
          <w:rFonts w:asciiTheme="minorHAnsi" w:hAnsiTheme="minorHAnsi" w:cstheme="minorHAnsi"/>
          <w:sz w:val="22"/>
        </w:rPr>
        <w:t xml:space="preserve"> </w:t>
      </w:r>
      <w:r w:rsidRPr="00494D64">
        <w:rPr>
          <w:rFonts w:asciiTheme="minorHAnsi" w:hAnsiTheme="minorHAnsi" w:cstheme="minorHAnsi"/>
          <w:sz w:val="22"/>
        </w:rPr>
        <w:t xml:space="preserve">may be </w:t>
      </w:r>
      <w:r w:rsidR="00294626" w:rsidRPr="00494D64">
        <w:rPr>
          <w:rFonts w:asciiTheme="minorHAnsi" w:hAnsiTheme="minorHAnsi" w:cstheme="minorHAnsi"/>
          <w:sz w:val="22"/>
        </w:rPr>
        <w:t xml:space="preserve">carried out by </w:t>
      </w:r>
      <w:r w:rsidRPr="00494D64">
        <w:rPr>
          <w:rFonts w:asciiTheme="minorHAnsi" w:hAnsiTheme="minorHAnsi" w:cstheme="minorHAnsi"/>
          <w:sz w:val="22"/>
        </w:rPr>
        <w:t xml:space="preserve">the </w:t>
      </w:r>
      <w:r w:rsidR="00335D3B">
        <w:rPr>
          <w:rFonts w:asciiTheme="minorHAnsi" w:hAnsiTheme="minorHAnsi" w:cstheme="minorHAnsi"/>
          <w:sz w:val="22"/>
        </w:rPr>
        <w:t>Headteacher</w:t>
      </w:r>
      <w:r w:rsidRPr="00494D64">
        <w:rPr>
          <w:rFonts w:asciiTheme="minorHAnsi" w:hAnsiTheme="minorHAnsi" w:cstheme="minorHAnsi"/>
          <w:sz w:val="22"/>
        </w:rPr>
        <w:t xml:space="preserve">.  </w:t>
      </w:r>
      <w:r w:rsidR="00294626" w:rsidRPr="00494D64">
        <w:rPr>
          <w:rFonts w:asciiTheme="minorHAnsi" w:hAnsiTheme="minorHAnsi" w:cstheme="minorHAnsi"/>
          <w:sz w:val="22"/>
        </w:rPr>
        <w:t xml:space="preserve">The induction tutor will meet with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at the start of the programme to </w:t>
      </w:r>
      <w:r w:rsidR="00294626" w:rsidRPr="00494D64">
        <w:rPr>
          <w:rFonts w:asciiTheme="minorHAnsi" w:hAnsiTheme="minorHAnsi" w:cstheme="minorHAnsi"/>
          <w:sz w:val="22"/>
        </w:rPr>
        <w:lastRenderedPageBreak/>
        <w:t xml:space="preserve">discuss and agree priorities for their induction and </w:t>
      </w:r>
      <w:r w:rsidRPr="00494D64">
        <w:rPr>
          <w:rFonts w:asciiTheme="minorHAnsi" w:hAnsiTheme="minorHAnsi" w:cstheme="minorHAnsi"/>
          <w:sz w:val="22"/>
        </w:rPr>
        <w:t xml:space="preserve">will be responsible for </w:t>
      </w:r>
      <w:r w:rsidR="006B1417" w:rsidRPr="00494D64">
        <w:rPr>
          <w:rFonts w:asciiTheme="minorHAnsi" w:hAnsiTheme="minorHAnsi" w:cstheme="minorHAnsi"/>
          <w:sz w:val="22"/>
        </w:rPr>
        <w:t>day-to-day</w:t>
      </w:r>
      <w:r w:rsidRPr="00494D64">
        <w:rPr>
          <w:rFonts w:asciiTheme="minorHAnsi" w:hAnsiTheme="minorHAnsi" w:cstheme="minorHAnsi"/>
          <w:sz w:val="22"/>
        </w:rPr>
        <w:t xml:space="preserve"> monitoring and support, and coordinating of assessment.   </w:t>
      </w:r>
      <w:r w:rsidR="007A2ED6" w:rsidRPr="00494D64">
        <w:rPr>
          <w:rFonts w:asciiTheme="minorHAnsi" w:hAnsiTheme="minorHAnsi" w:cstheme="minorHAnsi"/>
          <w:sz w:val="22"/>
        </w:rPr>
        <w:t xml:space="preserve">If the </w:t>
      </w:r>
      <w:r w:rsidR="005C10FC" w:rsidRPr="00494D64">
        <w:rPr>
          <w:rFonts w:asciiTheme="minorHAnsi" w:hAnsiTheme="minorHAnsi" w:cstheme="minorHAnsi"/>
          <w:sz w:val="22"/>
        </w:rPr>
        <w:t>ECT</w:t>
      </w:r>
      <w:r w:rsidR="007A2ED6" w:rsidRPr="00494D64">
        <w:rPr>
          <w:rFonts w:asciiTheme="minorHAnsi" w:hAnsiTheme="minorHAnsi" w:cstheme="minorHAnsi"/>
          <w:sz w:val="22"/>
        </w:rPr>
        <w:t xml:space="preserve"> has any concerns about their induction programme, they should be raised with the induction tutor who will seek to resolve them.</w:t>
      </w:r>
    </w:p>
    <w:p w14:paraId="352AA3A9" w14:textId="1BAD7BD6" w:rsidR="0053086E" w:rsidRDefault="0053086E"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In </w:t>
      </w:r>
      <w:r w:rsidR="006B1417" w:rsidRPr="00494D64">
        <w:rPr>
          <w:rFonts w:asciiTheme="minorHAnsi" w:hAnsiTheme="minorHAnsi" w:cstheme="minorHAnsi"/>
          <w:sz w:val="22"/>
        </w:rPr>
        <w:t>addition,</w:t>
      </w:r>
      <w:r w:rsidRPr="00494D64">
        <w:rPr>
          <w:rFonts w:asciiTheme="minorHAnsi" w:hAnsiTheme="minorHAnsi" w:cstheme="minorHAnsi"/>
          <w:sz w:val="22"/>
        </w:rPr>
        <w:t xml:space="preserve"> the</w:t>
      </w:r>
      <w:r w:rsidR="00335D3B">
        <w:rPr>
          <w:rFonts w:asciiTheme="minorHAnsi" w:hAnsiTheme="minorHAnsi" w:cstheme="minorHAnsi"/>
          <w:sz w:val="22"/>
        </w:rPr>
        <w:t xml:space="preserve"> Headteacher </w:t>
      </w:r>
      <w:r w:rsidRPr="00494D64">
        <w:rPr>
          <w:rFonts w:asciiTheme="minorHAnsi" w:hAnsiTheme="minorHAnsi" w:cstheme="minorHAnsi"/>
          <w:sz w:val="22"/>
        </w:rPr>
        <w:t>will appoint a designated mentor who is expected to hold QTS and have the necessary skills and knowledge to provide effective mentoring and have sufficient time to carry out the role effectively.</w:t>
      </w:r>
      <w:r w:rsidR="004A0AD4" w:rsidRPr="00494D64">
        <w:rPr>
          <w:rFonts w:asciiTheme="minorHAnsi" w:hAnsiTheme="minorHAnsi" w:cstheme="minorHAnsi"/>
          <w:sz w:val="22"/>
        </w:rPr>
        <w:t xml:space="preserve">  </w:t>
      </w:r>
      <w:r w:rsidRPr="00494D64">
        <w:rPr>
          <w:rFonts w:asciiTheme="minorHAnsi" w:hAnsiTheme="minorHAnsi" w:cstheme="minorHAnsi"/>
          <w:sz w:val="22"/>
        </w:rPr>
        <w:t xml:space="preserve">The mentor will provide regular one-to-one </w:t>
      </w:r>
      <w:r w:rsidR="00165AB2" w:rsidRPr="00494D64">
        <w:rPr>
          <w:rFonts w:asciiTheme="minorHAnsi" w:hAnsiTheme="minorHAnsi" w:cstheme="minorHAnsi"/>
          <w:sz w:val="22"/>
        </w:rPr>
        <w:t xml:space="preserve">structured, </w:t>
      </w:r>
      <w:r w:rsidRPr="00494D64">
        <w:rPr>
          <w:rFonts w:asciiTheme="minorHAnsi" w:hAnsiTheme="minorHAnsi" w:cstheme="minorHAnsi"/>
          <w:sz w:val="22"/>
        </w:rPr>
        <w:t>mentoring sessions to support the ECT during their induction</w:t>
      </w:r>
      <w:r w:rsidR="00165AB2" w:rsidRPr="00494D64">
        <w:rPr>
          <w:rFonts w:asciiTheme="minorHAnsi" w:hAnsiTheme="minorHAnsi" w:cstheme="minorHAnsi"/>
          <w:sz w:val="22"/>
        </w:rPr>
        <w:t xml:space="preserve"> and provide effective targeted feedback</w:t>
      </w:r>
      <w:r w:rsidRPr="00494D64">
        <w:rPr>
          <w:rFonts w:asciiTheme="minorHAnsi" w:hAnsiTheme="minorHAnsi" w:cstheme="minorHAnsi"/>
          <w:sz w:val="22"/>
        </w:rPr>
        <w:t>.</w:t>
      </w:r>
      <w:r w:rsidR="004A0AD4" w:rsidRPr="00494D64">
        <w:rPr>
          <w:rFonts w:asciiTheme="minorHAnsi" w:hAnsiTheme="minorHAnsi" w:cstheme="minorHAnsi"/>
          <w:sz w:val="22"/>
        </w:rPr>
        <w:t xml:space="preserve">  This role may be carried out by the</w:t>
      </w:r>
      <w:r w:rsidR="00335D3B">
        <w:rPr>
          <w:rFonts w:asciiTheme="minorHAnsi" w:hAnsiTheme="minorHAnsi" w:cstheme="minorHAnsi"/>
          <w:sz w:val="22"/>
        </w:rPr>
        <w:t xml:space="preserve"> Headteacher</w:t>
      </w:r>
      <w:r w:rsidR="004A0AD4" w:rsidRPr="00494D64">
        <w:rPr>
          <w:rFonts w:asciiTheme="minorHAnsi" w:hAnsiTheme="minorHAnsi" w:cstheme="minorHAnsi"/>
          <w:sz w:val="22"/>
        </w:rPr>
        <w:t xml:space="preserve">.  This is a separate role to that of the induction tutor and it is expected that it should be carried out by a different individual; in exceptional circumstances, a single teacher may fulfil both roles and where this is the case, adequate safeguards will be put in place to ensure that the mentoring support offered by the designated mentor is not conflated with the assessment role carried out by the induction tutor. </w:t>
      </w:r>
    </w:p>
    <w:p w14:paraId="69747172"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7F43B062" w14:textId="77777777" w:rsidR="00204A2C" w:rsidRPr="00494D64" w:rsidRDefault="00204A2C" w:rsidP="00494D64">
      <w:pPr>
        <w:pStyle w:val="HeadingLevel1"/>
        <w:spacing w:before="0" w:after="0"/>
        <w:rPr>
          <w:rFonts w:asciiTheme="minorHAnsi" w:hAnsiTheme="minorHAnsi" w:cstheme="minorHAnsi"/>
          <w:sz w:val="22"/>
        </w:rPr>
      </w:pPr>
      <w:bookmarkStart w:id="10" w:name="_Toc109387303"/>
      <w:r w:rsidRPr="00494D64">
        <w:rPr>
          <w:rFonts w:asciiTheme="minorHAnsi" w:hAnsiTheme="minorHAnsi" w:cstheme="minorHAnsi"/>
          <w:sz w:val="22"/>
        </w:rPr>
        <w:t>The induction period</w:t>
      </w:r>
      <w:bookmarkEnd w:id="10"/>
    </w:p>
    <w:p w14:paraId="62D2A9FE" w14:textId="70407CD4" w:rsidR="004E7EC0" w:rsidRPr="00494D64" w:rsidRDefault="00313D57" w:rsidP="00494D64">
      <w:pPr>
        <w:pStyle w:val="HeadingLevel2"/>
        <w:spacing w:after="0"/>
        <w:rPr>
          <w:rFonts w:asciiTheme="minorHAnsi" w:hAnsiTheme="minorHAnsi" w:cstheme="minorHAnsi"/>
          <w:sz w:val="22"/>
        </w:rPr>
      </w:pPr>
      <w:r w:rsidRPr="00494D64">
        <w:rPr>
          <w:rFonts w:asciiTheme="minorHAnsi" w:hAnsiTheme="minorHAnsi" w:cstheme="minorHAnsi"/>
          <w:sz w:val="22"/>
        </w:rPr>
        <w:t>The</w:t>
      </w:r>
      <w:r w:rsidR="005E4893" w:rsidRPr="00494D64">
        <w:rPr>
          <w:rFonts w:asciiTheme="minorHAnsi" w:hAnsiTheme="minorHAnsi" w:cstheme="minorHAnsi"/>
          <w:sz w:val="22"/>
        </w:rPr>
        <w:t xml:space="preserve"> minimum</w:t>
      </w:r>
      <w:r w:rsidRPr="00494D64">
        <w:rPr>
          <w:rFonts w:asciiTheme="minorHAnsi" w:hAnsiTheme="minorHAnsi" w:cstheme="minorHAnsi"/>
          <w:sz w:val="22"/>
        </w:rPr>
        <w:t xml:space="preserve"> length of the induction period will normally be </w:t>
      </w:r>
      <w:r w:rsidR="00106EC4" w:rsidRPr="00494D64">
        <w:rPr>
          <w:rFonts w:asciiTheme="minorHAnsi" w:hAnsiTheme="minorHAnsi" w:cstheme="minorHAnsi"/>
          <w:sz w:val="22"/>
        </w:rPr>
        <w:t xml:space="preserve">the full time equivalent of two standard school years (usually six school terms based on a school year of </w:t>
      </w:r>
      <w:r w:rsidRPr="00494D64">
        <w:rPr>
          <w:rFonts w:asciiTheme="minorHAnsi" w:hAnsiTheme="minorHAnsi" w:cstheme="minorHAnsi"/>
          <w:sz w:val="22"/>
        </w:rPr>
        <w:t>three school terms</w:t>
      </w:r>
      <w:r w:rsidR="00106EC4" w:rsidRPr="00494D64">
        <w:rPr>
          <w:rFonts w:asciiTheme="minorHAnsi" w:hAnsiTheme="minorHAnsi" w:cstheme="minorHAnsi"/>
          <w:sz w:val="22"/>
        </w:rPr>
        <w:t>)</w:t>
      </w:r>
      <w:r w:rsidRPr="00494D64">
        <w:rPr>
          <w:rFonts w:asciiTheme="minorHAnsi" w:hAnsiTheme="minorHAnsi" w:cstheme="minorHAnsi"/>
          <w:sz w:val="22"/>
        </w:rPr>
        <w:t xml:space="preserve">.  </w:t>
      </w:r>
      <w:r w:rsidR="00F175D4" w:rsidRPr="00494D64">
        <w:rPr>
          <w:rFonts w:asciiTheme="minorHAnsi" w:hAnsiTheme="minorHAnsi" w:cstheme="minorHAnsi"/>
          <w:sz w:val="22"/>
        </w:rPr>
        <w:t xml:space="preserve">Where the </w:t>
      </w:r>
      <w:r w:rsidR="005C10FC" w:rsidRPr="00494D64">
        <w:rPr>
          <w:rFonts w:asciiTheme="minorHAnsi" w:hAnsiTheme="minorHAnsi" w:cstheme="minorHAnsi"/>
          <w:sz w:val="22"/>
        </w:rPr>
        <w:t>ECT</w:t>
      </w:r>
      <w:r w:rsidR="00F175D4" w:rsidRPr="00494D64">
        <w:rPr>
          <w:rFonts w:asciiTheme="minorHAnsi" w:hAnsiTheme="minorHAnsi" w:cstheme="minorHAnsi"/>
          <w:sz w:val="22"/>
        </w:rPr>
        <w:t xml:space="preserve"> has or is serving some of the induction period in another setting, or in non-standard settings such as in the FE sector, the appropriate body will determine the equivalence to </w:t>
      </w:r>
      <w:r w:rsidR="00106EC4" w:rsidRPr="00494D64">
        <w:rPr>
          <w:rFonts w:asciiTheme="minorHAnsi" w:hAnsiTheme="minorHAnsi" w:cstheme="minorHAnsi"/>
          <w:sz w:val="22"/>
        </w:rPr>
        <w:t xml:space="preserve">two </w:t>
      </w:r>
      <w:r w:rsidR="00F175D4" w:rsidRPr="00494D64">
        <w:rPr>
          <w:rFonts w:asciiTheme="minorHAnsi" w:hAnsiTheme="minorHAnsi" w:cstheme="minorHAnsi"/>
          <w:sz w:val="22"/>
        </w:rPr>
        <w:t>school year</w:t>
      </w:r>
      <w:r w:rsidR="00106EC4" w:rsidRPr="00494D64">
        <w:rPr>
          <w:rFonts w:asciiTheme="minorHAnsi" w:hAnsiTheme="minorHAnsi" w:cstheme="minorHAnsi"/>
          <w:sz w:val="22"/>
        </w:rPr>
        <w:t>s</w:t>
      </w:r>
      <w:r w:rsidR="00F175D4" w:rsidRPr="00494D64">
        <w:rPr>
          <w:rFonts w:asciiTheme="minorHAnsi" w:hAnsiTheme="minorHAnsi" w:cstheme="minorHAnsi"/>
          <w:sz w:val="22"/>
        </w:rPr>
        <w:t xml:space="preserve">. </w:t>
      </w:r>
      <w:r w:rsidR="00CF5E61" w:rsidRPr="00494D64">
        <w:rPr>
          <w:rFonts w:asciiTheme="minorHAnsi" w:hAnsiTheme="minorHAnsi" w:cstheme="minorHAnsi"/>
          <w:sz w:val="22"/>
        </w:rPr>
        <w:t>We will</w:t>
      </w:r>
      <w:r w:rsidR="00F175D4" w:rsidRPr="00494D64">
        <w:rPr>
          <w:rFonts w:asciiTheme="minorHAnsi" w:hAnsiTheme="minorHAnsi" w:cstheme="minorHAnsi"/>
          <w:sz w:val="22"/>
        </w:rPr>
        <w:t xml:space="preserve"> also</w:t>
      </w:r>
      <w:r w:rsidR="00CF5E61" w:rsidRPr="00494D64">
        <w:rPr>
          <w:rFonts w:asciiTheme="minorHAnsi" w:hAnsiTheme="minorHAnsi" w:cstheme="minorHAnsi"/>
          <w:sz w:val="22"/>
        </w:rPr>
        <w:t xml:space="preserve"> follow the statutory guidance in relation to any special circumstances which may apply</w:t>
      </w:r>
      <w:r w:rsidR="00820E9F" w:rsidRPr="00494D64">
        <w:rPr>
          <w:rFonts w:asciiTheme="minorHAnsi" w:hAnsiTheme="minorHAnsi" w:cstheme="minorHAnsi"/>
          <w:sz w:val="22"/>
        </w:rPr>
        <w:t>,</w:t>
      </w:r>
      <w:r w:rsidR="00CF5E61" w:rsidRPr="00494D64">
        <w:rPr>
          <w:rFonts w:asciiTheme="minorHAnsi" w:hAnsiTheme="minorHAnsi" w:cstheme="minorHAnsi"/>
          <w:sz w:val="22"/>
        </w:rPr>
        <w:t xml:space="preserve"> to reduce or extend the induction period.   </w:t>
      </w:r>
    </w:p>
    <w:p w14:paraId="46D061FF" w14:textId="3693D02B" w:rsidR="004E7EC0" w:rsidRPr="00494D64" w:rsidRDefault="004E7EC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Where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part time, this will be the full time equivalent of </w:t>
      </w:r>
      <w:r w:rsidR="00106EC4" w:rsidRPr="00494D64">
        <w:rPr>
          <w:rFonts w:asciiTheme="minorHAnsi" w:hAnsiTheme="minorHAnsi" w:cstheme="minorHAnsi"/>
          <w:sz w:val="22"/>
        </w:rPr>
        <w:t xml:space="preserve">two standard </w:t>
      </w:r>
      <w:r w:rsidRPr="00494D64">
        <w:rPr>
          <w:rFonts w:asciiTheme="minorHAnsi" w:hAnsiTheme="minorHAnsi" w:cstheme="minorHAnsi"/>
          <w:sz w:val="22"/>
        </w:rPr>
        <w:t>school</w:t>
      </w:r>
      <w:r w:rsidR="007002AE" w:rsidRPr="00494D64">
        <w:rPr>
          <w:rFonts w:asciiTheme="minorHAnsi" w:hAnsiTheme="minorHAnsi" w:cstheme="minorHAnsi"/>
          <w:sz w:val="22"/>
        </w:rPr>
        <w:t xml:space="preserve"> </w:t>
      </w:r>
      <w:r w:rsidRPr="00494D64">
        <w:rPr>
          <w:rFonts w:asciiTheme="minorHAnsi" w:hAnsiTheme="minorHAnsi" w:cstheme="minorHAnsi"/>
          <w:sz w:val="22"/>
        </w:rPr>
        <w:t>year</w:t>
      </w:r>
      <w:r w:rsidR="00106EC4" w:rsidRPr="00494D64">
        <w:rPr>
          <w:rFonts w:asciiTheme="minorHAnsi" w:hAnsiTheme="minorHAnsi" w:cstheme="minorHAnsi"/>
          <w:sz w:val="22"/>
        </w:rPr>
        <w:t>s</w:t>
      </w:r>
      <w:r w:rsidRPr="00494D64">
        <w:rPr>
          <w:rFonts w:asciiTheme="minorHAnsi" w:hAnsiTheme="minorHAnsi" w:cstheme="minorHAnsi"/>
          <w:sz w:val="22"/>
        </w:rPr>
        <w:t xml:space="preserve">.  </w:t>
      </w:r>
      <w:r w:rsidRPr="00494D64">
        <w:rPr>
          <w:rFonts w:asciiTheme="minorHAnsi" w:hAnsiTheme="minorHAnsi" w:cstheme="minorHAnsi"/>
          <w:sz w:val="22"/>
        </w:rPr>
        <w:br/>
        <w:t xml:space="preserve">We will agree with the appropriate body a fair length of induction for each </w:t>
      </w:r>
      <w:r w:rsidR="005C10FC" w:rsidRPr="00494D64">
        <w:rPr>
          <w:rFonts w:asciiTheme="minorHAnsi" w:hAnsiTheme="minorHAnsi" w:cstheme="minorHAnsi"/>
          <w:sz w:val="22"/>
        </w:rPr>
        <w:t>ECT</w:t>
      </w:r>
      <w:r w:rsidRPr="00494D64">
        <w:rPr>
          <w:rFonts w:asciiTheme="minorHAnsi" w:hAnsiTheme="minorHAnsi" w:cstheme="minorHAnsi"/>
          <w:sz w:val="22"/>
        </w:rPr>
        <w:t xml:space="preserve"> if appropriate, taking account of the </w:t>
      </w:r>
      <w:r w:rsidR="005C10FC" w:rsidRPr="00494D64">
        <w:rPr>
          <w:rFonts w:asciiTheme="minorHAnsi" w:hAnsiTheme="minorHAnsi" w:cstheme="minorHAnsi"/>
          <w:sz w:val="22"/>
        </w:rPr>
        <w:t>ECT</w:t>
      </w:r>
      <w:r w:rsidRPr="00494D64">
        <w:rPr>
          <w:rFonts w:asciiTheme="minorHAnsi" w:hAnsiTheme="minorHAnsi" w:cstheme="minorHAnsi"/>
          <w:sz w:val="22"/>
        </w:rPr>
        <w:t>’s working pattern.</w:t>
      </w:r>
      <w:r w:rsidR="00106EC4" w:rsidRPr="00494D64">
        <w:rPr>
          <w:rFonts w:asciiTheme="minorHAnsi" w:hAnsiTheme="minorHAnsi" w:cstheme="minorHAnsi"/>
          <w:sz w:val="22"/>
        </w:rPr>
        <w:t xml:space="preserve"> In line with the provisions of the statutory guidance, a part time ECT may be able to have their induction period reduced in cases where they have completed a period covering but not equivalent to two full school years and can demonstrate that they meet the Teachers’ Standards. </w:t>
      </w:r>
    </w:p>
    <w:p w14:paraId="434C3C9E" w14:textId="5FA5DA1C" w:rsidR="004E7EC0" w:rsidRPr="00494D64" w:rsidRDefault="00313D57"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Where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applies for a post that is fixed term or temporary, </w:t>
      </w:r>
      <w:r w:rsidR="006C235C" w:rsidRPr="00494D64">
        <w:rPr>
          <w:rFonts w:asciiTheme="minorHAnsi" w:hAnsiTheme="minorHAnsi" w:cstheme="minorHAnsi"/>
          <w:sz w:val="22"/>
        </w:rPr>
        <w:t xml:space="preserve">continuous employment in </w:t>
      </w:r>
      <w:r w:rsidR="005E4893" w:rsidRPr="00494D64">
        <w:rPr>
          <w:rFonts w:asciiTheme="minorHAnsi" w:hAnsiTheme="minorHAnsi" w:cstheme="minorHAnsi"/>
          <w:sz w:val="22"/>
        </w:rPr>
        <w:t xml:space="preserve">posts of a minimum of one term or more may count towards the induction period. </w:t>
      </w:r>
    </w:p>
    <w:p w14:paraId="5AF0553B" w14:textId="1B94919F" w:rsidR="00341F80" w:rsidRDefault="00820E9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Where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eligible to carry out short-term supply work, and is undertaking short term supply work of less than one term, this cannot count towards induction.  </w:t>
      </w:r>
      <w:r w:rsidR="006B1417" w:rsidRPr="00494D64">
        <w:rPr>
          <w:rFonts w:asciiTheme="minorHAnsi" w:hAnsiTheme="minorHAnsi" w:cstheme="minorHAnsi"/>
          <w:sz w:val="22"/>
        </w:rPr>
        <w:t>However,</w:t>
      </w:r>
      <w:r w:rsidRPr="00494D64">
        <w:rPr>
          <w:rFonts w:asciiTheme="minorHAnsi" w:hAnsiTheme="minorHAnsi" w:cstheme="minorHAnsi"/>
          <w:sz w:val="22"/>
        </w:rPr>
        <w:t xml:space="preserve"> if it becomes clear that short-term supply work will be extended beyond one term, an induction programme will be put in place.  The start date of the induction programme cannot be backdated.</w:t>
      </w:r>
    </w:p>
    <w:p w14:paraId="2DA32EFE"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46136243" w14:textId="2C2A887E" w:rsidR="005E4893" w:rsidRPr="00494D64" w:rsidRDefault="004A0AD4" w:rsidP="00494D64">
      <w:pPr>
        <w:pStyle w:val="HeadingLevel1"/>
        <w:spacing w:before="0" w:after="0"/>
        <w:rPr>
          <w:rFonts w:asciiTheme="minorHAnsi" w:hAnsiTheme="minorHAnsi" w:cstheme="minorHAnsi"/>
          <w:sz w:val="22"/>
        </w:rPr>
      </w:pPr>
      <w:bookmarkStart w:id="11" w:name="_Toc109387304"/>
      <w:r w:rsidRPr="00494D64">
        <w:rPr>
          <w:rFonts w:asciiTheme="minorHAnsi" w:hAnsiTheme="minorHAnsi" w:cstheme="minorHAnsi"/>
          <w:sz w:val="22"/>
        </w:rPr>
        <w:t xml:space="preserve">Monitoring, support </w:t>
      </w:r>
      <w:r w:rsidR="00B33042" w:rsidRPr="00494D64">
        <w:rPr>
          <w:rFonts w:asciiTheme="minorHAnsi" w:hAnsiTheme="minorHAnsi" w:cstheme="minorHAnsi"/>
          <w:sz w:val="22"/>
        </w:rPr>
        <w:t>and assessment during the induction period</w:t>
      </w:r>
      <w:bookmarkEnd w:id="11"/>
    </w:p>
    <w:p w14:paraId="70AD915C" w14:textId="6E4F217B" w:rsidR="001F2ECA" w:rsidRPr="00494D64" w:rsidRDefault="001F2ECA"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Monitoring and support will take place throughout the induction period.  This will </w:t>
      </w:r>
      <w:r w:rsidR="003C211F" w:rsidRPr="00494D64">
        <w:rPr>
          <w:rFonts w:asciiTheme="minorHAnsi" w:hAnsiTheme="minorHAnsi" w:cstheme="minorHAnsi"/>
          <w:sz w:val="22"/>
        </w:rPr>
        <w:t xml:space="preserve">be </w:t>
      </w:r>
      <w:r w:rsidR="00E321AD" w:rsidRPr="00494D64">
        <w:rPr>
          <w:rFonts w:asciiTheme="minorHAnsi" w:hAnsiTheme="minorHAnsi" w:cstheme="minorHAnsi"/>
          <w:sz w:val="22"/>
        </w:rPr>
        <w:t xml:space="preserve">structured </w:t>
      </w:r>
      <w:r w:rsidR="003C211F" w:rsidRPr="00494D64">
        <w:rPr>
          <w:rFonts w:asciiTheme="minorHAnsi" w:hAnsiTheme="minorHAnsi" w:cstheme="minorHAnsi"/>
          <w:sz w:val="22"/>
        </w:rPr>
        <w:t xml:space="preserve">to meet the professional development needs of the </w:t>
      </w:r>
      <w:r w:rsidR="005C10FC" w:rsidRPr="00494D64">
        <w:rPr>
          <w:rFonts w:asciiTheme="minorHAnsi" w:hAnsiTheme="minorHAnsi" w:cstheme="minorHAnsi"/>
          <w:sz w:val="22"/>
        </w:rPr>
        <w:t>ECT</w:t>
      </w:r>
      <w:r w:rsidR="003C211F" w:rsidRPr="00494D64">
        <w:rPr>
          <w:rFonts w:asciiTheme="minorHAnsi" w:hAnsiTheme="minorHAnsi" w:cstheme="minorHAnsi"/>
          <w:sz w:val="22"/>
        </w:rPr>
        <w:t xml:space="preserve">.  It will </w:t>
      </w:r>
      <w:r w:rsidRPr="00494D64">
        <w:rPr>
          <w:rFonts w:asciiTheme="minorHAnsi" w:hAnsiTheme="minorHAnsi" w:cstheme="minorHAnsi"/>
          <w:sz w:val="22"/>
        </w:rPr>
        <w:t>include</w:t>
      </w:r>
      <w:r w:rsidR="00E321AD" w:rsidRPr="00494D64">
        <w:rPr>
          <w:rFonts w:asciiTheme="minorHAnsi" w:hAnsiTheme="minorHAnsi" w:cstheme="minorHAnsi"/>
          <w:sz w:val="22"/>
        </w:rPr>
        <w:t xml:space="preserve"> a programme of </w:t>
      </w:r>
      <w:r w:rsidR="00715DB3" w:rsidRPr="00494D64">
        <w:rPr>
          <w:rFonts w:asciiTheme="minorHAnsi" w:hAnsiTheme="minorHAnsi" w:cstheme="minorHAnsi"/>
          <w:sz w:val="22"/>
        </w:rPr>
        <w:t>ECF based training,</w:t>
      </w:r>
      <w:r w:rsidRPr="00494D64">
        <w:rPr>
          <w:rFonts w:asciiTheme="minorHAnsi" w:hAnsiTheme="minorHAnsi" w:cstheme="minorHAnsi"/>
          <w:sz w:val="22"/>
        </w:rPr>
        <w:t xml:space="preserve"> ongoing support and guidance from the induction tutor, </w:t>
      </w:r>
      <w:r w:rsidR="00715DB3" w:rsidRPr="00494D64">
        <w:rPr>
          <w:rFonts w:asciiTheme="minorHAnsi" w:hAnsiTheme="minorHAnsi" w:cstheme="minorHAnsi"/>
          <w:sz w:val="22"/>
        </w:rPr>
        <w:t xml:space="preserve">regular mentoring provided by the designated mentor, </w:t>
      </w: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observing exper</w:t>
      </w:r>
      <w:r w:rsidR="00335D3B">
        <w:rPr>
          <w:rFonts w:asciiTheme="minorHAnsi" w:hAnsiTheme="minorHAnsi" w:cstheme="minorHAnsi"/>
          <w:sz w:val="22"/>
        </w:rPr>
        <w:t xml:space="preserve">ienced teachers either in this school, Trust or </w:t>
      </w:r>
      <w:r w:rsidRPr="00494D64">
        <w:rPr>
          <w:rFonts w:asciiTheme="minorHAnsi" w:hAnsiTheme="minorHAnsi" w:cstheme="minorHAnsi"/>
          <w:sz w:val="22"/>
        </w:rPr>
        <w:t xml:space="preserve">another appropriate institution where effective practice has been identified and the following, which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should keep track of and participate in effectively:</w:t>
      </w:r>
    </w:p>
    <w:p w14:paraId="1056DC1E" w14:textId="2C3F5251" w:rsidR="00715DB3" w:rsidRPr="00494D64" w:rsidRDefault="00715DB3" w:rsidP="00494D64">
      <w:pPr>
        <w:pStyle w:val="HeadingLevel3"/>
        <w:spacing w:after="0"/>
        <w:rPr>
          <w:rFonts w:asciiTheme="minorHAnsi" w:hAnsiTheme="minorHAnsi" w:cstheme="minorHAnsi"/>
          <w:sz w:val="22"/>
        </w:rPr>
      </w:pPr>
      <w:r w:rsidRPr="00494D64">
        <w:rPr>
          <w:rFonts w:asciiTheme="minorHAnsi" w:hAnsiTheme="minorHAnsi" w:cstheme="minorHAnsi"/>
          <w:sz w:val="22"/>
        </w:rPr>
        <w:t>A programme of ECF based training, embedded as a central aspect of induction that enables the ECT to understand and apply the knowledge and skills set out in the ECF evidence statements and practice.  The</w:t>
      </w:r>
      <w:r w:rsidR="00335D3B">
        <w:rPr>
          <w:rFonts w:asciiTheme="minorHAnsi" w:hAnsiTheme="minorHAnsi" w:cstheme="minorHAnsi"/>
          <w:sz w:val="22"/>
        </w:rPr>
        <w:t xml:space="preserve"> Headteacher</w:t>
      </w:r>
      <w:r w:rsidRPr="00494D64">
        <w:rPr>
          <w:rFonts w:asciiTheme="minorHAnsi" w:hAnsiTheme="minorHAnsi" w:cstheme="minorHAnsi"/>
          <w:sz w:val="22"/>
        </w:rPr>
        <w:t xml:space="preserve"> will determine which of the three approaches set out in the statutory guidance will best suit the needs of the ECT and their mentors.  </w:t>
      </w:r>
      <w:r w:rsidR="004A0AD4" w:rsidRPr="00494D64">
        <w:rPr>
          <w:rFonts w:asciiTheme="minorHAnsi" w:hAnsiTheme="minorHAnsi" w:cstheme="minorHAnsi"/>
          <w:sz w:val="22"/>
        </w:rPr>
        <w:t>We recognise that the ECF is not an assessment tool</w:t>
      </w:r>
      <w:r w:rsidR="00384D1D" w:rsidRPr="00494D64">
        <w:rPr>
          <w:rFonts w:asciiTheme="minorHAnsi" w:hAnsiTheme="minorHAnsi" w:cstheme="minorHAnsi"/>
          <w:sz w:val="22"/>
        </w:rPr>
        <w:t xml:space="preserve"> and is separate from the formal assessment of an ECT’s performance against the </w:t>
      </w:r>
      <w:r w:rsidR="00AE4481" w:rsidRPr="00494D64">
        <w:rPr>
          <w:rFonts w:asciiTheme="minorHAnsi" w:hAnsiTheme="minorHAnsi" w:cstheme="minorHAnsi"/>
          <w:sz w:val="22"/>
        </w:rPr>
        <w:t>T</w:t>
      </w:r>
      <w:r w:rsidR="00384D1D" w:rsidRPr="00494D64">
        <w:rPr>
          <w:rFonts w:asciiTheme="minorHAnsi" w:hAnsiTheme="minorHAnsi" w:cstheme="minorHAnsi"/>
          <w:sz w:val="22"/>
        </w:rPr>
        <w:t>eacher</w:t>
      </w:r>
      <w:r w:rsidR="00AE4481" w:rsidRPr="00494D64">
        <w:rPr>
          <w:rFonts w:asciiTheme="minorHAnsi" w:hAnsiTheme="minorHAnsi" w:cstheme="minorHAnsi"/>
          <w:sz w:val="22"/>
        </w:rPr>
        <w:t>s</w:t>
      </w:r>
      <w:r w:rsidR="00384D1D" w:rsidRPr="00494D64">
        <w:rPr>
          <w:rFonts w:asciiTheme="minorHAnsi" w:hAnsiTheme="minorHAnsi" w:cstheme="minorHAnsi"/>
          <w:sz w:val="22"/>
        </w:rPr>
        <w:t xml:space="preserve">’ </w:t>
      </w:r>
      <w:r w:rsidR="00AE4481" w:rsidRPr="00494D64">
        <w:rPr>
          <w:rFonts w:asciiTheme="minorHAnsi" w:hAnsiTheme="minorHAnsi" w:cstheme="minorHAnsi"/>
          <w:sz w:val="22"/>
        </w:rPr>
        <w:t>S</w:t>
      </w:r>
      <w:r w:rsidR="00384D1D" w:rsidRPr="00494D64">
        <w:rPr>
          <w:rFonts w:asciiTheme="minorHAnsi" w:hAnsiTheme="minorHAnsi" w:cstheme="minorHAnsi"/>
          <w:sz w:val="22"/>
        </w:rPr>
        <w:t>tandards.</w:t>
      </w:r>
      <w:r w:rsidR="004A0AD4" w:rsidRPr="00494D64">
        <w:rPr>
          <w:rFonts w:asciiTheme="minorHAnsi" w:hAnsiTheme="minorHAnsi" w:cstheme="minorHAnsi"/>
          <w:sz w:val="22"/>
        </w:rPr>
        <w:t xml:space="preserve"> </w:t>
      </w:r>
    </w:p>
    <w:p w14:paraId="4DAE5B46" w14:textId="34F1A3AA" w:rsidR="00B33042" w:rsidRPr="00494D64" w:rsidRDefault="00B3304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The induction tutor or another suitable internal or external person with QTS will regularly observe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teaching against the </w:t>
      </w:r>
      <w:r w:rsidR="00EC0AB2" w:rsidRPr="00494D64">
        <w:rPr>
          <w:rFonts w:asciiTheme="minorHAnsi" w:hAnsiTheme="minorHAnsi" w:cstheme="minorHAnsi"/>
          <w:sz w:val="22"/>
        </w:rPr>
        <w:t>Teachers’ Standards</w:t>
      </w:r>
      <w:r w:rsidR="00AD3FA6" w:rsidRPr="00494D64">
        <w:rPr>
          <w:rFonts w:asciiTheme="minorHAnsi" w:hAnsiTheme="minorHAnsi" w:cstheme="minorHAnsi"/>
          <w:sz w:val="22"/>
        </w:rPr>
        <w:t xml:space="preserve">, normally on a </w:t>
      </w:r>
      <w:r w:rsidR="00AD3FA6" w:rsidRPr="00494D64">
        <w:rPr>
          <w:rFonts w:asciiTheme="minorHAnsi" w:hAnsiTheme="minorHAnsi" w:cstheme="minorHAnsi"/>
          <w:sz w:val="22"/>
        </w:rPr>
        <w:lastRenderedPageBreak/>
        <w:t>monthly basis</w:t>
      </w:r>
      <w:r w:rsidRPr="00494D64">
        <w:rPr>
          <w:rFonts w:asciiTheme="minorHAnsi" w:hAnsiTheme="minorHAnsi" w:cstheme="minorHAnsi"/>
          <w:sz w:val="22"/>
        </w:rPr>
        <w:t xml:space="preserve">.  Following observation, the observer will </w:t>
      </w:r>
      <w:r w:rsidR="007002AE" w:rsidRPr="00494D64">
        <w:rPr>
          <w:rFonts w:asciiTheme="minorHAnsi" w:hAnsiTheme="minorHAnsi" w:cstheme="minorHAnsi"/>
          <w:sz w:val="22"/>
        </w:rPr>
        <w:t>notify</w:t>
      </w:r>
      <w:r w:rsidR="006C235C" w:rsidRPr="00494D64">
        <w:rPr>
          <w:rFonts w:asciiTheme="minorHAnsi" w:hAnsiTheme="minorHAnsi" w:cstheme="minorHAnsi"/>
          <w:sz w:val="22"/>
        </w:rPr>
        <w:t xml:space="preserve"> the ECT in advance of the requirement to attend a post-observation review meeting </w:t>
      </w:r>
      <w:r w:rsidRPr="00494D64">
        <w:rPr>
          <w:rFonts w:asciiTheme="minorHAnsi" w:hAnsiTheme="minorHAnsi" w:cstheme="minorHAnsi"/>
          <w:sz w:val="22"/>
        </w:rPr>
        <w:t xml:space="preserve">to provide </w:t>
      </w:r>
      <w:r w:rsidR="00891975" w:rsidRPr="00494D64">
        <w:rPr>
          <w:rFonts w:asciiTheme="minorHAnsi" w:hAnsiTheme="minorHAnsi" w:cstheme="minorHAnsi"/>
          <w:sz w:val="22"/>
        </w:rPr>
        <w:t xml:space="preserve">prompt and constructive </w:t>
      </w:r>
      <w:r w:rsidRPr="00494D64">
        <w:rPr>
          <w:rFonts w:asciiTheme="minorHAnsi" w:hAnsiTheme="minorHAnsi" w:cstheme="minorHAnsi"/>
          <w:sz w:val="22"/>
        </w:rPr>
        <w:t>feedback</w:t>
      </w:r>
      <w:r w:rsidR="00891975" w:rsidRPr="00494D64">
        <w:rPr>
          <w:rFonts w:asciiTheme="minorHAnsi" w:hAnsiTheme="minorHAnsi" w:cstheme="minorHAnsi"/>
          <w:sz w:val="22"/>
        </w:rPr>
        <w:t xml:space="preserve"> and a </w:t>
      </w:r>
      <w:r w:rsidR="00D337A5" w:rsidRPr="00494D64">
        <w:rPr>
          <w:rFonts w:asciiTheme="minorHAnsi" w:hAnsiTheme="minorHAnsi" w:cstheme="minorHAnsi"/>
          <w:sz w:val="22"/>
        </w:rPr>
        <w:t xml:space="preserve">brief </w:t>
      </w:r>
      <w:r w:rsidR="00891975" w:rsidRPr="00494D64">
        <w:rPr>
          <w:rFonts w:asciiTheme="minorHAnsi" w:hAnsiTheme="minorHAnsi" w:cstheme="minorHAnsi"/>
          <w:sz w:val="22"/>
        </w:rPr>
        <w:t xml:space="preserve">written record will be made of the feedback given at the meeting.  Any development needs will be identified.  </w:t>
      </w:r>
    </w:p>
    <w:p w14:paraId="34F07927" w14:textId="151EF7CE" w:rsidR="00891975" w:rsidRPr="00494D64" w:rsidRDefault="00891975"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The induction tutor will </w:t>
      </w:r>
      <w:r w:rsidR="006C235C" w:rsidRPr="00494D64">
        <w:rPr>
          <w:rFonts w:asciiTheme="minorHAnsi" w:hAnsiTheme="minorHAnsi" w:cstheme="minorHAnsi"/>
          <w:sz w:val="22"/>
        </w:rPr>
        <w:t xml:space="preserve">carry out a professional progress </w:t>
      </w:r>
      <w:r w:rsidRPr="00494D64">
        <w:rPr>
          <w:rFonts w:asciiTheme="minorHAnsi" w:hAnsiTheme="minorHAnsi" w:cstheme="minorHAnsi"/>
          <w:sz w:val="22"/>
        </w:rPr>
        <w:t>review based on</w:t>
      </w:r>
      <w:r w:rsidR="00AD3FA6" w:rsidRPr="00494D64">
        <w:rPr>
          <w:rFonts w:asciiTheme="minorHAnsi" w:hAnsiTheme="minorHAnsi" w:cstheme="minorHAnsi"/>
          <w:sz w:val="22"/>
        </w:rPr>
        <w:t xml:space="preserve"> the evidence of the</w:t>
      </w:r>
      <w:r w:rsidR="00C74C2B" w:rsidRPr="00494D64">
        <w:rPr>
          <w:rFonts w:asciiTheme="minorHAnsi" w:hAnsiTheme="minorHAnsi" w:cstheme="minorHAnsi"/>
          <w:sz w:val="22"/>
        </w:rPr>
        <w:t xml:space="preserve"> ECT’s</w:t>
      </w:r>
      <w:r w:rsidR="00AD3FA6" w:rsidRPr="00494D64">
        <w:rPr>
          <w:rFonts w:asciiTheme="minorHAnsi" w:hAnsiTheme="minorHAnsi" w:cstheme="minorHAnsi"/>
          <w:sz w:val="22"/>
        </w:rPr>
        <w:t xml:space="preserve"> teaching, </w:t>
      </w:r>
      <w:r w:rsidR="00C74C2B" w:rsidRPr="00494D64">
        <w:rPr>
          <w:rFonts w:asciiTheme="minorHAnsi" w:hAnsiTheme="minorHAnsi" w:cstheme="minorHAnsi"/>
          <w:sz w:val="22"/>
        </w:rPr>
        <w:t>taking place in each term where a formal assessment (see 5.1.</w:t>
      </w:r>
      <w:r w:rsidR="00D337A5" w:rsidRPr="00494D64">
        <w:rPr>
          <w:rFonts w:asciiTheme="minorHAnsi" w:hAnsiTheme="minorHAnsi" w:cstheme="minorHAnsi"/>
          <w:sz w:val="22"/>
        </w:rPr>
        <w:t>4</w:t>
      </w:r>
      <w:r w:rsidR="00C74C2B" w:rsidRPr="00494D64">
        <w:rPr>
          <w:rFonts w:asciiTheme="minorHAnsi" w:hAnsiTheme="minorHAnsi" w:cstheme="minorHAnsi"/>
          <w:sz w:val="22"/>
        </w:rPr>
        <w:t xml:space="preserve">) is not scheduled. </w:t>
      </w:r>
      <w:r w:rsidR="004722A1" w:rsidRPr="00494D64">
        <w:rPr>
          <w:rFonts w:asciiTheme="minorHAnsi" w:hAnsiTheme="minorHAnsi" w:cstheme="minorHAnsi"/>
          <w:sz w:val="22"/>
        </w:rPr>
        <w:t xml:space="preserve">A written record of each progress review will be retained and provided to the ECT, stating whether the ECT is on track to complete induction, summarising the evidence collected and the agreed development targets.  </w:t>
      </w:r>
      <w:r w:rsidR="00C74C2B" w:rsidRPr="00494D64">
        <w:rPr>
          <w:rFonts w:asciiTheme="minorHAnsi" w:hAnsiTheme="minorHAnsi" w:cstheme="minorHAnsi"/>
          <w:sz w:val="22"/>
        </w:rPr>
        <w:t>A</w:t>
      </w:r>
      <w:r w:rsidRPr="00494D64">
        <w:rPr>
          <w:rFonts w:asciiTheme="minorHAnsi" w:hAnsiTheme="minorHAnsi" w:cstheme="minorHAnsi"/>
          <w:sz w:val="22"/>
        </w:rPr>
        <w:t xml:space="preserve">s a </w:t>
      </w:r>
      <w:r w:rsidR="006B1417" w:rsidRPr="00494D64">
        <w:rPr>
          <w:rFonts w:asciiTheme="minorHAnsi" w:hAnsiTheme="minorHAnsi" w:cstheme="minorHAnsi"/>
          <w:sz w:val="22"/>
        </w:rPr>
        <w:t>result,</w:t>
      </w:r>
      <w:r w:rsidRPr="00494D64">
        <w:rPr>
          <w:rFonts w:asciiTheme="minorHAnsi" w:hAnsiTheme="minorHAnsi" w:cstheme="minorHAnsi"/>
          <w:sz w:val="22"/>
        </w:rPr>
        <w:t xml:space="preserve"> objectives may be reviewed to take account of the needs and strengths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t>
      </w:r>
      <w:r w:rsidR="004722A1" w:rsidRPr="00494D64">
        <w:rPr>
          <w:rFonts w:asciiTheme="minorHAnsi" w:hAnsiTheme="minorHAnsi" w:cstheme="minorHAnsi"/>
          <w:sz w:val="22"/>
        </w:rPr>
        <w:t>The induction tutor will update the</w:t>
      </w:r>
      <w:r w:rsidR="00335D3B">
        <w:rPr>
          <w:rFonts w:asciiTheme="minorHAnsi" w:hAnsiTheme="minorHAnsi" w:cstheme="minorHAnsi"/>
          <w:sz w:val="22"/>
        </w:rPr>
        <w:t xml:space="preserve"> Headteacher</w:t>
      </w:r>
      <w:r w:rsidR="004722A1" w:rsidRPr="00494D64">
        <w:rPr>
          <w:rFonts w:asciiTheme="minorHAnsi" w:hAnsiTheme="minorHAnsi" w:cstheme="minorHAnsi"/>
          <w:sz w:val="22"/>
        </w:rPr>
        <w:t xml:space="preserve"> after each progress review, and will notify the appropriate body and the ECT themselves whether they are making satisfactory progress.  </w:t>
      </w:r>
    </w:p>
    <w:p w14:paraId="08649627" w14:textId="7569CA52" w:rsidR="00043C09" w:rsidRPr="00494D64" w:rsidRDefault="00891975"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A formal assessment will normally be carried out </w:t>
      </w:r>
      <w:r w:rsidR="006C235C" w:rsidRPr="00494D64">
        <w:rPr>
          <w:rFonts w:asciiTheme="minorHAnsi" w:hAnsiTheme="minorHAnsi" w:cstheme="minorHAnsi"/>
          <w:sz w:val="22"/>
        </w:rPr>
        <w:t>in the final ter</w:t>
      </w:r>
      <w:r w:rsidR="004722A1" w:rsidRPr="00494D64">
        <w:rPr>
          <w:rFonts w:asciiTheme="minorHAnsi" w:hAnsiTheme="minorHAnsi" w:cstheme="minorHAnsi"/>
          <w:sz w:val="22"/>
        </w:rPr>
        <w:t>m</w:t>
      </w:r>
      <w:r w:rsidR="006C235C" w:rsidRPr="00494D64">
        <w:rPr>
          <w:rFonts w:asciiTheme="minorHAnsi" w:hAnsiTheme="minorHAnsi" w:cstheme="minorHAnsi"/>
          <w:sz w:val="22"/>
        </w:rPr>
        <w:t xml:space="preserve"> of the first</w:t>
      </w:r>
      <w:r w:rsidR="004722A1" w:rsidRPr="00494D64">
        <w:rPr>
          <w:rFonts w:asciiTheme="minorHAnsi" w:hAnsiTheme="minorHAnsi" w:cstheme="minorHAnsi"/>
          <w:sz w:val="22"/>
        </w:rPr>
        <w:t xml:space="preserve"> year</w:t>
      </w:r>
      <w:r w:rsidR="00713952" w:rsidRPr="00494D64">
        <w:rPr>
          <w:rFonts w:asciiTheme="minorHAnsi" w:hAnsiTheme="minorHAnsi" w:cstheme="minorHAnsi"/>
          <w:sz w:val="22"/>
        </w:rPr>
        <w:t xml:space="preserve"> and</w:t>
      </w:r>
      <w:r w:rsidR="006C235C" w:rsidRPr="00494D64">
        <w:rPr>
          <w:rFonts w:asciiTheme="minorHAnsi" w:hAnsiTheme="minorHAnsi" w:cstheme="minorHAnsi"/>
          <w:sz w:val="22"/>
        </w:rPr>
        <w:t xml:space="preserve"> </w:t>
      </w:r>
      <w:r w:rsidR="004722A1" w:rsidRPr="00494D64">
        <w:rPr>
          <w:rFonts w:asciiTheme="minorHAnsi" w:hAnsiTheme="minorHAnsi" w:cstheme="minorHAnsi"/>
          <w:sz w:val="22"/>
        </w:rPr>
        <w:t>the final term of the</w:t>
      </w:r>
      <w:r w:rsidR="006C235C" w:rsidRPr="00494D64">
        <w:rPr>
          <w:rFonts w:asciiTheme="minorHAnsi" w:hAnsiTheme="minorHAnsi" w:cstheme="minorHAnsi"/>
          <w:sz w:val="22"/>
        </w:rPr>
        <w:t xml:space="preserve"> second year</w:t>
      </w:r>
      <w:r w:rsidRPr="00494D64">
        <w:rPr>
          <w:rFonts w:asciiTheme="minorHAnsi" w:hAnsiTheme="minorHAnsi" w:cstheme="minorHAnsi"/>
          <w:sz w:val="22"/>
        </w:rPr>
        <w:t xml:space="preserve">, by </w:t>
      </w:r>
      <w:r w:rsidR="00335D3B">
        <w:rPr>
          <w:rFonts w:asciiTheme="minorHAnsi" w:hAnsiTheme="minorHAnsi" w:cstheme="minorHAnsi"/>
          <w:sz w:val="22"/>
        </w:rPr>
        <w:t>the Headteacher</w:t>
      </w:r>
      <w:r w:rsidRPr="00494D64">
        <w:rPr>
          <w:rFonts w:asciiTheme="minorHAnsi" w:hAnsiTheme="minorHAnsi" w:cstheme="minorHAnsi"/>
          <w:sz w:val="22"/>
        </w:rPr>
        <w:t xml:space="preserve"> or the induction tutor.  We will agree with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exactly when these assessment dates will be.  The assessment will use evidence gathered f</w:t>
      </w:r>
      <w:r w:rsidR="00294626" w:rsidRPr="00494D64">
        <w:rPr>
          <w:rFonts w:asciiTheme="minorHAnsi" w:hAnsiTheme="minorHAnsi" w:cstheme="minorHAnsi"/>
          <w:sz w:val="22"/>
        </w:rPr>
        <w:t xml:space="preserve">rom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’s work as a teacher, </w:t>
      </w:r>
      <w:r w:rsidRPr="00494D64">
        <w:rPr>
          <w:rFonts w:asciiTheme="minorHAnsi" w:hAnsiTheme="minorHAnsi" w:cstheme="minorHAnsi"/>
          <w:sz w:val="22"/>
        </w:rPr>
        <w:t>from their induction programme</w:t>
      </w:r>
      <w:r w:rsidR="001F2ECA" w:rsidRPr="00494D64">
        <w:rPr>
          <w:rFonts w:asciiTheme="minorHAnsi" w:hAnsiTheme="minorHAnsi" w:cstheme="minorHAnsi"/>
          <w:sz w:val="22"/>
        </w:rPr>
        <w:t>,</w:t>
      </w:r>
      <w:r w:rsidRPr="00494D64">
        <w:rPr>
          <w:rFonts w:asciiTheme="minorHAnsi" w:hAnsiTheme="minorHAnsi" w:cstheme="minorHAnsi"/>
          <w:sz w:val="22"/>
        </w:rPr>
        <w:t xml:space="preserve"> </w:t>
      </w:r>
      <w:r w:rsidR="00294626" w:rsidRPr="00494D64">
        <w:rPr>
          <w:rFonts w:asciiTheme="minorHAnsi" w:hAnsiTheme="minorHAnsi" w:cstheme="minorHAnsi"/>
          <w:sz w:val="22"/>
        </w:rPr>
        <w:t xml:space="preserve">and may require input from other colleagues as appropriate.  </w:t>
      </w:r>
      <w:r w:rsidRPr="00494D64">
        <w:rPr>
          <w:rFonts w:asciiTheme="minorHAnsi" w:hAnsiTheme="minorHAnsi" w:cstheme="minorHAnsi"/>
          <w:sz w:val="22"/>
        </w:rPr>
        <w:t xml:space="preserve">Copies of the evidence used will be provided to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and the appropriate body.  </w:t>
      </w:r>
      <w:r w:rsidR="009E46BC" w:rsidRPr="00494D64">
        <w:rPr>
          <w:rFonts w:asciiTheme="minorHAnsi" w:hAnsiTheme="minorHAnsi" w:cstheme="minorHAnsi"/>
          <w:sz w:val="22"/>
        </w:rPr>
        <w:t>T</w:t>
      </w:r>
      <w:r w:rsidRPr="00494D64">
        <w:rPr>
          <w:rFonts w:asciiTheme="minorHAnsi" w:hAnsiTheme="minorHAnsi" w:cstheme="minorHAnsi"/>
          <w:sz w:val="22"/>
        </w:rPr>
        <w:t xml:space="preserve">he person carrying out the formal assessment will complete a formal assessment report showing an assessment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performance against the </w:t>
      </w:r>
      <w:r w:rsidR="00EC0AB2" w:rsidRPr="00494D64">
        <w:rPr>
          <w:rFonts w:asciiTheme="minorHAnsi" w:hAnsiTheme="minorHAnsi" w:cstheme="minorHAnsi"/>
          <w:sz w:val="22"/>
        </w:rPr>
        <w:t>Teachers’ Standards</w:t>
      </w:r>
      <w:r w:rsidRPr="00494D64">
        <w:rPr>
          <w:rFonts w:asciiTheme="minorHAnsi" w:hAnsiTheme="minorHAnsi" w:cstheme="minorHAnsi"/>
          <w:sz w:val="22"/>
        </w:rPr>
        <w:t xml:space="preserve">.  </w:t>
      </w:r>
      <w:r w:rsidR="00043C09"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00043C09" w:rsidRPr="00494D64">
        <w:rPr>
          <w:rFonts w:asciiTheme="minorHAnsi" w:hAnsiTheme="minorHAnsi" w:cstheme="minorHAnsi"/>
          <w:sz w:val="22"/>
        </w:rPr>
        <w:t xml:space="preserve"> will have an opportunity to add their comments to each of the formal assessment reports, which will then be signed by the induction tu</w:t>
      </w:r>
      <w:r w:rsidR="001F2ECA" w:rsidRPr="00494D64">
        <w:rPr>
          <w:rFonts w:asciiTheme="minorHAnsi" w:hAnsiTheme="minorHAnsi" w:cstheme="minorHAnsi"/>
          <w:sz w:val="22"/>
        </w:rPr>
        <w:t>tor, the</w:t>
      </w:r>
      <w:r w:rsidR="00335D3B">
        <w:rPr>
          <w:rFonts w:asciiTheme="minorHAnsi" w:hAnsiTheme="minorHAnsi" w:cstheme="minorHAnsi"/>
          <w:sz w:val="22"/>
        </w:rPr>
        <w:t xml:space="preserve"> Headteacher</w:t>
      </w:r>
      <w:r w:rsidR="00043C09" w:rsidRPr="00494D64">
        <w:rPr>
          <w:rFonts w:asciiTheme="minorHAnsi" w:hAnsiTheme="minorHAnsi" w:cstheme="minorHAnsi"/>
          <w:sz w:val="22"/>
        </w:rPr>
        <w:t xml:space="preserve"> (if they are not the induction tutor) and the </w:t>
      </w:r>
      <w:r w:rsidR="005C10FC" w:rsidRPr="00494D64">
        <w:rPr>
          <w:rFonts w:asciiTheme="minorHAnsi" w:hAnsiTheme="minorHAnsi" w:cstheme="minorHAnsi"/>
          <w:sz w:val="22"/>
        </w:rPr>
        <w:t>ECT</w:t>
      </w:r>
      <w:r w:rsidR="00043C09" w:rsidRPr="00494D64">
        <w:rPr>
          <w:rFonts w:asciiTheme="minorHAnsi" w:hAnsiTheme="minorHAnsi" w:cstheme="minorHAnsi"/>
          <w:sz w:val="22"/>
        </w:rPr>
        <w:t xml:space="preserve">.  The </w:t>
      </w:r>
      <w:r w:rsidR="005C10FC" w:rsidRPr="00494D64">
        <w:rPr>
          <w:rFonts w:asciiTheme="minorHAnsi" w:hAnsiTheme="minorHAnsi" w:cstheme="minorHAnsi"/>
          <w:sz w:val="22"/>
        </w:rPr>
        <w:t>ECT</w:t>
      </w:r>
      <w:r w:rsidR="00043C09" w:rsidRPr="00494D64">
        <w:rPr>
          <w:rFonts w:asciiTheme="minorHAnsi" w:hAnsiTheme="minorHAnsi" w:cstheme="minorHAnsi"/>
          <w:sz w:val="22"/>
        </w:rPr>
        <w:t xml:space="preserve"> will be provided with the original</w:t>
      </w:r>
      <w:r w:rsidR="00294626" w:rsidRPr="00494D64">
        <w:rPr>
          <w:rFonts w:asciiTheme="minorHAnsi" w:hAnsiTheme="minorHAnsi" w:cstheme="minorHAnsi"/>
          <w:sz w:val="22"/>
        </w:rPr>
        <w:t>, which they should retain,</w:t>
      </w:r>
      <w:r w:rsidR="00043C09" w:rsidRPr="00494D64">
        <w:rPr>
          <w:rFonts w:asciiTheme="minorHAnsi" w:hAnsiTheme="minorHAnsi" w:cstheme="minorHAnsi"/>
          <w:sz w:val="22"/>
        </w:rPr>
        <w:t xml:space="preserve"> and a copy will be sent to the appropriate body shortly after each meeting.</w:t>
      </w:r>
    </w:p>
    <w:p w14:paraId="15E10680" w14:textId="4F6FE6D5" w:rsidR="001F2ECA" w:rsidRDefault="001F2ECA"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Performance will be assessed against the </w:t>
      </w:r>
      <w:r w:rsidR="00C74C2B" w:rsidRPr="00494D64">
        <w:rPr>
          <w:rFonts w:asciiTheme="minorHAnsi" w:hAnsiTheme="minorHAnsi" w:cstheme="minorHAnsi"/>
          <w:sz w:val="22"/>
        </w:rPr>
        <w:t>Teachers’ Standards</w:t>
      </w:r>
      <w:r w:rsidRPr="00494D64">
        <w:rPr>
          <w:rFonts w:asciiTheme="minorHAnsi" w:hAnsiTheme="minorHAnsi" w:cstheme="minorHAnsi"/>
          <w:sz w:val="22"/>
        </w:rPr>
        <w:t xml:space="preserve"> throughout and at the end of the induction period, based on what can reasonably be expected of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at that stage of their induction and taking in to account the work context, within that framework. </w:t>
      </w:r>
      <w:r w:rsidR="00C74C2B" w:rsidRPr="00494D64">
        <w:rPr>
          <w:rFonts w:asciiTheme="minorHAnsi" w:hAnsiTheme="minorHAnsi" w:cstheme="minorHAnsi"/>
          <w:sz w:val="22"/>
        </w:rPr>
        <w:t xml:space="preserve"> Evidence for assessments will be drawn from the ECT’s work as a teacher during their induction. Formal assessment meetings should be informed by evidence gathered during progress reviews and assessment periods leading up to the formal assessment, through the use of existing documents. </w:t>
      </w:r>
    </w:p>
    <w:p w14:paraId="12F750C0"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74C3160B" w14:textId="77777777" w:rsidR="00CF5E61" w:rsidRPr="00494D64" w:rsidRDefault="00CF5E61" w:rsidP="00494D64">
      <w:pPr>
        <w:pStyle w:val="HeadingLevel1"/>
        <w:spacing w:before="0" w:after="0"/>
        <w:rPr>
          <w:rFonts w:asciiTheme="minorHAnsi" w:hAnsiTheme="minorHAnsi" w:cstheme="minorHAnsi"/>
          <w:sz w:val="22"/>
        </w:rPr>
      </w:pPr>
      <w:bookmarkStart w:id="12" w:name="_Toc109387305"/>
      <w:r w:rsidRPr="00494D64">
        <w:rPr>
          <w:rFonts w:asciiTheme="minorHAnsi" w:hAnsiTheme="minorHAnsi" w:cstheme="minorHAnsi"/>
          <w:sz w:val="22"/>
        </w:rPr>
        <w:t>Leaving or joining part way through induction</w:t>
      </w:r>
      <w:bookmarkEnd w:id="12"/>
    </w:p>
    <w:p w14:paraId="7B319103" w14:textId="2EDEB259" w:rsidR="00CF5E61" w:rsidRPr="00494D64" w:rsidRDefault="00CF5E6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joining the </w:t>
      </w:r>
      <w:r w:rsidR="005E5E4D" w:rsidRPr="00494D64">
        <w:rPr>
          <w:rFonts w:asciiTheme="minorHAnsi" w:hAnsiTheme="minorHAnsi" w:cstheme="minorHAnsi"/>
          <w:sz w:val="22"/>
        </w:rPr>
        <w:t>academy</w:t>
      </w:r>
      <w:r w:rsidRPr="00494D64">
        <w:rPr>
          <w:rFonts w:asciiTheme="minorHAnsi" w:hAnsiTheme="minorHAnsi" w:cstheme="minorHAnsi"/>
          <w:sz w:val="22"/>
        </w:rPr>
        <w:t xml:space="preserve"> is part way through their induction period and has carried out part of their induction at another institution, the</w:t>
      </w:r>
      <w:r w:rsidR="00335D3B">
        <w:rPr>
          <w:rFonts w:asciiTheme="minorHAnsi" w:hAnsiTheme="minorHAnsi" w:cstheme="minorHAnsi"/>
          <w:sz w:val="22"/>
        </w:rPr>
        <w:t xml:space="preserve"> Headteacher</w:t>
      </w:r>
      <w:r w:rsidRPr="00494D64">
        <w:rPr>
          <w:rFonts w:asciiTheme="minorHAnsi" w:hAnsiTheme="minorHAnsi" w:cstheme="minorHAnsi"/>
          <w:sz w:val="22"/>
        </w:rPr>
        <w:t xml:space="preserve"> will contact the </w:t>
      </w:r>
      <w:r w:rsidR="005C10FC" w:rsidRPr="00494D64">
        <w:rPr>
          <w:rFonts w:asciiTheme="minorHAnsi" w:hAnsiTheme="minorHAnsi" w:cstheme="minorHAnsi"/>
          <w:sz w:val="22"/>
        </w:rPr>
        <w:t>ECT</w:t>
      </w:r>
      <w:r w:rsidRPr="00494D64">
        <w:rPr>
          <w:rFonts w:asciiTheme="minorHAnsi" w:hAnsiTheme="minorHAnsi" w:cstheme="minorHAnsi"/>
          <w:sz w:val="22"/>
        </w:rPr>
        <w:t>’s previous appropriate body to:</w:t>
      </w:r>
    </w:p>
    <w:p w14:paraId="37952B62" w14:textId="5BB9D369" w:rsidR="00CF5E61" w:rsidRPr="00494D64" w:rsidRDefault="00CF5E61"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Obtain copies of any </w:t>
      </w:r>
      <w:r w:rsidR="00C74C2B" w:rsidRPr="00494D64">
        <w:rPr>
          <w:rFonts w:asciiTheme="minorHAnsi" w:hAnsiTheme="minorHAnsi" w:cstheme="minorHAnsi"/>
          <w:sz w:val="22"/>
        </w:rPr>
        <w:t xml:space="preserve">progress review records or </w:t>
      </w:r>
      <w:r w:rsidRPr="00494D64">
        <w:rPr>
          <w:rFonts w:asciiTheme="minorHAnsi" w:hAnsiTheme="minorHAnsi" w:cstheme="minorHAnsi"/>
          <w:sz w:val="22"/>
        </w:rPr>
        <w:t xml:space="preserve">assessment </w:t>
      </w:r>
      <w:r w:rsidR="00C74C2B" w:rsidRPr="00494D64">
        <w:rPr>
          <w:rFonts w:asciiTheme="minorHAnsi" w:hAnsiTheme="minorHAnsi" w:cstheme="minorHAnsi"/>
          <w:sz w:val="22"/>
        </w:rPr>
        <w:t>reports</w:t>
      </w:r>
      <w:r w:rsidR="001F2ECA" w:rsidRPr="00494D64">
        <w:rPr>
          <w:rFonts w:asciiTheme="minorHAnsi" w:hAnsiTheme="minorHAnsi" w:cstheme="minorHAnsi"/>
          <w:sz w:val="22"/>
        </w:rPr>
        <w:t>;</w:t>
      </w:r>
    </w:p>
    <w:p w14:paraId="70AE1BDA" w14:textId="77777777" w:rsidR="00CF5E61" w:rsidRPr="00494D64" w:rsidRDefault="00CF5E61" w:rsidP="00494D64">
      <w:pPr>
        <w:pStyle w:val="HeadingLevel3"/>
        <w:spacing w:after="0"/>
        <w:rPr>
          <w:rFonts w:asciiTheme="minorHAnsi" w:hAnsiTheme="minorHAnsi" w:cstheme="minorHAnsi"/>
          <w:sz w:val="22"/>
        </w:rPr>
      </w:pPr>
      <w:r w:rsidRPr="00494D64">
        <w:rPr>
          <w:rFonts w:asciiTheme="minorHAnsi" w:hAnsiTheme="minorHAnsi" w:cstheme="minorHAnsi"/>
          <w:sz w:val="22"/>
        </w:rPr>
        <w:t>Establish how much induction time remains to be served</w:t>
      </w:r>
      <w:r w:rsidR="001F2ECA" w:rsidRPr="00494D64">
        <w:rPr>
          <w:rFonts w:asciiTheme="minorHAnsi" w:hAnsiTheme="minorHAnsi" w:cstheme="minorHAnsi"/>
          <w:sz w:val="22"/>
        </w:rPr>
        <w:t>.</w:t>
      </w:r>
    </w:p>
    <w:p w14:paraId="626F5E73" w14:textId="73477423" w:rsidR="00CF5E61" w:rsidRPr="00494D64" w:rsidRDefault="001F2ECA" w:rsidP="00494D64">
      <w:pPr>
        <w:pStyle w:val="HeadingLevel2"/>
        <w:spacing w:after="0"/>
        <w:rPr>
          <w:rFonts w:asciiTheme="minorHAnsi" w:hAnsiTheme="minorHAnsi" w:cstheme="minorHAnsi"/>
          <w:sz w:val="22"/>
        </w:rPr>
      </w:pPr>
      <w:r w:rsidRPr="00494D64">
        <w:rPr>
          <w:rFonts w:asciiTheme="minorHAnsi" w:hAnsiTheme="minorHAnsi" w:cstheme="minorHAnsi"/>
          <w:sz w:val="22"/>
        </w:rPr>
        <w:t>If</w:t>
      </w:r>
      <w:r w:rsidR="00622DE7" w:rsidRPr="00494D64">
        <w:rPr>
          <w:rFonts w:asciiTheme="minorHAnsi" w:hAnsiTheme="minorHAnsi" w:cstheme="minorHAnsi"/>
          <w:sz w:val="22"/>
        </w:rPr>
        <w:t>,</w:t>
      </w:r>
      <w:r w:rsidRPr="00494D64">
        <w:rPr>
          <w:rFonts w:asciiTheme="minorHAnsi" w:hAnsiTheme="minorHAnsi" w:cstheme="minorHAnsi"/>
          <w:sz w:val="22"/>
        </w:rPr>
        <w:t xml:space="preserve"> as a result of 6.1 above, it is established that </w:t>
      </w:r>
      <w:r w:rsidR="00CF5E61" w:rsidRPr="00494D64">
        <w:rPr>
          <w:rFonts w:asciiTheme="minorHAnsi" w:hAnsiTheme="minorHAnsi" w:cstheme="minorHAnsi"/>
          <w:sz w:val="22"/>
        </w:rPr>
        <w:t xml:space="preserve">any concerns have been raised about the </w:t>
      </w:r>
      <w:r w:rsidR="005C10FC" w:rsidRPr="00494D64">
        <w:rPr>
          <w:rFonts w:asciiTheme="minorHAnsi" w:hAnsiTheme="minorHAnsi" w:cstheme="minorHAnsi"/>
          <w:sz w:val="22"/>
        </w:rPr>
        <w:t>ECT</w:t>
      </w:r>
      <w:r w:rsidR="00CF5E61" w:rsidRPr="00494D64">
        <w:rPr>
          <w:rFonts w:asciiTheme="minorHAnsi" w:hAnsiTheme="minorHAnsi" w:cstheme="minorHAnsi"/>
          <w:sz w:val="22"/>
        </w:rPr>
        <w:t>’</w:t>
      </w:r>
      <w:r w:rsidRPr="00494D64">
        <w:rPr>
          <w:rFonts w:asciiTheme="minorHAnsi" w:hAnsiTheme="minorHAnsi" w:cstheme="minorHAnsi"/>
          <w:sz w:val="22"/>
        </w:rPr>
        <w:t xml:space="preserve">s progress by previous employer(s), </w:t>
      </w:r>
      <w:r w:rsidR="00335D3B">
        <w:rPr>
          <w:rFonts w:asciiTheme="minorHAnsi" w:hAnsiTheme="minorHAnsi" w:cstheme="minorHAnsi"/>
          <w:sz w:val="22"/>
        </w:rPr>
        <w:t>the Headteacher</w:t>
      </w:r>
      <w:r w:rsidRPr="00494D64">
        <w:rPr>
          <w:rFonts w:asciiTheme="minorHAnsi" w:hAnsiTheme="minorHAnsi" w:cstheme="minorHAnsi"/>
          <w:sz w:val="22"/>
        </w:rPr>
        <w:t xml:space="preserve"> will alert the appropriate body of </w:t>
      </w:r>
      <w:r w:rsidR="00335D3B">
        <w:rPr>
          <w:rFonts w:asciiTheme="minorHAnsi" w:hAnsiTheme="minorHAnsi" w:cstheme="minorHAnsi"/>
          <w:sz w:val="22"/>
        </w:rPr>
        <w:t>the school.</w:t>
      </w:r>
    </w:p>
    <w:p w14:paraId="65873D1D" w14:textId="56D36C64" w:rsidR="00CF5E61" w:rsidRPr="00494D64" w:rsidRDefault="00CF5E6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due to leave a post with us after completing one term or more, but before the next formal assessment or the final assessment at the end of the induction period would have been carried out, then the </w:t>
      </w:r>
      <w:r w:rsidR="00EC0AB2" w:rsidRPr="00494D64">
        <w:rPr>
          <w:rFonts w:asciiTheme="minorHAnsi" w:hAnsiTheme="minorHAnsi" w:cstheme="minorHAnsi"/>
          <w:sz w:val="22"/>
        </w:rPr>
        <w:t xml:space="preserve">Induction Tutor or </w:t>
      </w:r>
      <w:r w:rsidR="00335D3B">
        <w:rPr>
          <w:rFonts w:asciiTheme="minorHAnsi" w:hAnsiTheme="minorHAnsi" w:cstheme="minorHAnsi"/>
          <w:sz w:val="22"/>
        </w:rPr>
        <w:t>Headteacher</w:t>
      </w:r>
      <w:r w:rsidR="00335D3B" w:rsidRPr="00494D64">
        <w:rPr>
          <w:rFonts w:asciiTheme="minorHAnsi" w:hAnsiTheme="minorHAnsi" w:cstheme="minorHAnsi"/>
          <w:sz w:val="22"/>
        </w:rPr>
        <w:t xml:space="preserve"> </w:t>
      </w:r>
      <w:r w:rsidRPr="00494D64">
        <w:rPr>
          <w:rFonts w:asciiTheme="minorHAnsi" w:hAnsiTheme="minorHAnsi" w:cstheme="minorHAnsi"/>
          <w:sz w:val="22"/>
        </w:rPr>
        <w:t xml:space="preserve">will complete an interim assessment before they leave in order to ensure that their progress since the last assessment is captured.  This will include any concerns about progress which </w:t>
      </w:r>
      <w:r w:rsidR="001F2ECA" w:rsidRPr="00494D64">
        <w:rPr>
          <w:rFonts w:asciiTheme="minorHAnsi" w:hAnsiTheme="minorHAnsi" w:cstheme="minorHAnsi"/>
          <w:sz w:val="22"/>
        </w:rPr>
        <w:t xml:space="preserve">may have arisen (see paragraph </w:t>
      </w:r>
      <w:r w:rsidR="00BB21F0" w:rsidRPr="00494D64">
        <w:rPr>
          <w:rFonts w:asciiTheme="minorHAnsi" w:hAnsiTheme="minorHAnsi" w:cstheme="minorHAnsi"/>
          <w:sz w:val="22"/>
        </w:rPr>
        <w:t>8</w:t>
      </w:r>
      <w:r w:rsidR="001F2ECA" w:rsidRPr="00494D64">
        <w:rPr>
          <w:rFonts w:asciiTheme="minorHAnsi" w:hAnsiTheme="minorHAnsi" w:cstheme="minorHAnsi"/>
          <w:sz w:val="22"/>
        </w:rPr>
        <w:t>, below</w:t>
      </w:r>
      <w:r w:rsidRPr="00494D64">
        <w:rPr>
          <w:rFonts w:asciiTheme="minorHAnsi" w:hAnsiTheme="minorHAnsi" w:cstheme="minorHAnsi"/>
          <w:sz w:val="22"/>
        </w:rPr>
        <w:t>).</w:t>
      </w:r>
    </w:p>
    <w:p w14:paraId="10406B7D" w14:textId="1BCC1A9F" w:rsidR="00CF5E61" w:rsidRPr="00494D64" w:rsidRDefault="00CF5E6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induction period is extended by the appropriate body after completion, and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leaves before completing the extension, the</w:t>
      </w:r>
      <w:r w:rsidR="00335D3B">
        <w:rPr>
          <w:rFonts w:asciiTheme="minorHAnsi" w:hAnsiTheme="minorHAnsi" w:cstheme="minorHAnsi"/>
          <w:sz w:val="22"/>
        </w:rPr>
        <w:t xml:space="preserve"> Headteacher</w:t>
      </w:r>
      <w:r w:rsidRPr="00494D64">
        <w:rPr>
          <w:rFonts w:asciiTheme="minorHAnsi" w:hAnsiTheme="minorHAnsi" w:cstheme="minorHAnsi"/>
          <w:sz w:val="22"/>
        </w:rPr>
        <w:t xml:space="preserve"> will complete an interim assessment.  </w:t>
      </w:r>
    </w:p>
    <w:p w14:paraId="126847BF" w14:textId="455DFB8A" w:rsidR="00CF5E61" w:rsidRDefault="00335D3B" w:rsidP="00494D64">
      <w:pPr>
        <w:pStyle w:val="HeadingLevel2"/>
        <w:spacing w:after="0"/>
        <w:rPr>
          <w:rFonts w:asciiTheme="minorHAnsi" w:hAnsiTheme="minorHAnsi" w:cstheme="minorHAnsi"/>
          <w:sz w:val="22"/>
        </w:rPr>
      </w:pPr>
      <w:r>
        <w:rPr>
          <w:rFonts w:asciiTheme="minorHAnsi" w:hAnsiTheme="minorHAnsi" w:cstheme="minorHAnsi"/>
          <w:sz w:val="22"/>
        </w:rPr>
        <w:lastRenderedPageBreak/>
        <w:t>The Headteacher</w:t>
      </w:r>
      <w:r w:rsidR="00CF5E61" w:rsidRPr="00494D64">
        <w:rPr>
          <w:rFonts w:asciiTheme="minorHAnsi" w:hAnsiTheme="minorHAnsi" w:cstheme="minorHAnsi"/>
          <w:sz w:val="22"/>
        </w:rPr>
        <w:t xml:space="preserve"> will notify the appropriate body that the </w:t>
      </w:r>
      <w:r w:rsidR="005C10FC" w:rsidRPr="00494D64">
        <w:rPr>
          <w:rFonts w:asciiTheme="minorHAnsi" w:hAnsiTheme="minorHAnsi" w:cstheme="minorHAnsi"/>
          <w:sz w:val="22"/>
        </w:rPr>
        <w:t>ECT</w:t>
      </w:r>
      <w:r w:rsidR="00CF5E61" w:rsidRPr="00494D64">
        <w:rPr>
          <w:rFonts w:asciiTheme="minorHAnsi" w:hAnsiTheme="minorHAnsi" w:cstheme="minorHAnsi"/>
          <w:sz w:val="22"/>
        </w:rPr>
        <w:t xml:space="preserve"> has left before completing induction, or if </w:t>
      </w:r>
      <w:r w:rsidR="00294626" w:rsidRPr="00494D64">
        <w:rPr>
          <w:rFonts w:asciiTheme="minorHAnsi" w:hAnsiTheme="minorHAnsi" w:cstheme="minorHAnsi"/>
          <w:sz w:val="22"/>
        </w:rPr>
        <w:t xml:space="preserve">the induction period is extended and the </w:t>
      </w:r>
      <w:r w:rsidR="005C10FC" w:rsidRPr="00494D64">
        <w:rPr>
          <w:rFonts w:asciiTheme="minorHAnsi" w:hAnsiTheme="minorHAnsi" w:cstheme="minorHAnsi"/>
          <w:sz w:val="22"/>
        </w:rPr>
        <w:t>ECT</w:t>
      </w:r>
      <w:r w:rsidR="00294626" w:rsidRPr="00494D64">
        <w:rPr>
          <w:rFonts w:asciiTheme="minorHAnsi" w:hAnsiTheme="minorHAnsi" w:cstheme="minorHAnsi"/>
          <w:sz w:val="22"/>
        </w:rPr>
        <w:t xml:space="preserve"> leaves before completing the extension.</w:t>
      </w:r>
    </w:p>
    <w:p w14:paraId="4187B852" w14:textId="77777777" w:rsidR="00335D3B" w:rsidRPr="00494D64" w:rsidRDefault="00335D3B" w:rsidP="00335D3B">
      <w:pPr>
        <w:pStyle w:val="HeadingLevel2"/>
        <w:numPr>
          <w:ilvl w:val="0"/>
          <w:numId w:val="0"/>
        </w:numPr>
        <w:spacing w:after="0"/>
        <w:ind w:left="720"/>
        <w:rPr>
          <w:rFonts w:asciiTheme="minorHAnsi" w:hAnsiTheme="minorHAnsi" w:cstheme="minorHAnsi"/>
          <w:sz w:val="22"/>
        </w:rPr>
      </w:pPr>
    </w:p>
    <w:p w14:paraId="6C770126" w14:textId="3836BCBD" w:rsidR="007A0D3F" w:rsidRPr="00494D64" w:rsidRDefault="007A0D3F" w:rsidP="00494D64">
      <w:pPr>
        <w:pStyle w:val="HeadingLevel1"/>
        <w:spacing w:before="0" w:after="0"/>
        <w:rPr>
          <w:rFonts w:asciiTheme="minorHAnsi" w:hAnsiTheme="minorHAnsi" w:cstheme="minorHAnsi"/>
          <w:sz w:val="22"/>
        </w:rPr>
      </w:pPr>
      <w:bookmarkStart w:id="13" w:name="_Toc109387306"/>
      <w:r w:rsidRPr="00494D64">
        <w:rPr>
          <w:rFonts w:asciiTheme="minorHAnsi" w:hAnsiTheme="minorHAnsi" w:cstheme="minorHAnsi"/>
          <w:sz w:val="22"/>
        </w:rPr>
        <w:t>Absences during the induction period</w:t>
      </w:r>
      <w:bookmarkEnd w:id="13"/>
    </w:p>
    <w:p w14:paraId="26F37953" w14:textId="7DA3E36B" w:rsidR="007A0D3F" w:rsidRPr="00494D64" w:rsidRDefault="007A0D3F"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an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absent during induction for a period of 30 days or more</w:t>
      </w:r>
      <w:r w:rsidR="00EC0AB2" w:rsidRPr="00494D64">
        <w:rPr>
          <w:rFonts w:asciiTheme="minorHAnsi" w:hAnsiTheme="minorHAnsi" w:cstheme="minorHAnsi"/>
          <w:sz w:val="22"/>
        </w:rPr>
        <w:t xml:space="preserve"> </w:t>
      </w:r>
      <w:r w:rsidR="00165AB2" w:rsidRPr="00494D64">
        <w:rPr>
          <w:rFonts w:asciiTheme="minorHAnsi" w:hAnsiTheme="minorHAnsi" w:cstheme="minorHAnsi"/>
          <w:sz w:val="22"/>
        </w:rPr>
        <w:t>per</w:t>
      </w:r>
      <w:r w:rsidR="00EC0AB2" w:rsidRPr="00494D64">
        <w:rPr>
          <w:rFonts w:asciiTheme="minorHAnsi" w:hAnsiTheme="minorHAnsi" w:cstheme="minorHAnsi"/>
          <w:sz w:val="22"/>
        </w:rPr>
        <w:t xml:space="preserve"> year of induction or equivalent for part time teacher</w:t>
      </w:r>
      <w:r w:rsidRPr="00494D64">
        <w:rPr>
          <w:rFonts w:asciiTheme="minorHAnsi" w:hAnsiTheme="minorHAnsi" w:cstheme="minorHAnsi"/>
          <w:sz w:val="22"/>
        </w:rPr>
        <w:t xml:space="preserve">, </w:t>
      </w:r>
      <w:r w:rsidR="00301556">
        <w:rPr>
          <w:rFonts w:asciiTheme="minorHAnsi" w:hAnsiTheme="minorHAnsi" w:cstheme="minorHAnsi"/>
          <w:sz w:val="22"/>
        </w:rPr>
        <w:t>the Headteacher</w:t>
      </w:r>
      <w:r w:rsidR="00242B8A" w:rsidRPr="00494D64">
        <w:rPr>
          <w:rFonts w:asciiTheme="minorHAnsi" w:hAnsiTheme="minorHAnsi" w:cstheme="minorHAnsi"/>
          <w:sz w:val="22"/>
        </w:rPr>
        <w:t xml:space="preserve"> will notify the appropriate body as soon as the absences total this number. T</w:t>
      </w:r>
      <w:r w:rsidRPr="00494D64">
        <w:rPr>
          <w:rFonts w:asciiTheme="minorHAnsi" w:hAnsiTheme="minorHAnsi" w:cstheme="minorHAnsi"/>
          <w:sz w:val="22"/>
        </w:rPr>
        <w:t xml:space="preserve">he induction period will automatically be extended by the same number of total aggregate days of absence, as long as this extension can be served in the same setting.  If the extension cannot be served at this setting for any reason, then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t>
      </w:r>
      <w:r w:rsidR="00242B8A" w:rsidRPr="00494D64">
        <w:rPr>
          <w:rFonts w:asciiTheme="minorHAnsi" w:hAnsiTheme="minorHAnsi" w:cstheme="minorHAnsi"/>
          <w:sz w:val="22"/>
        </w:rPr>
        <w:t>would need to serve the minimum period of one term or equivalent in a new setting.</w:t>
      </w:r>
    </w:p>
    <w:p w14:paraId="3A0EC07D" w14:textId="07DE7DFD" w:rsidR="00242B8A" w:rsidRDefault="00242B8A" w:rsidP="00494D64">
      <w:pPr>
        <w:pStyle w:val="HeadingLevel2"/>
        <w:spacing w:after="0"/>
        <w:rPr>
          <w:rFonts w:asciiTheme="minorHAnsi" w:hAnsiTheme="minorHAnsi" w:cstheme="minorHAnsi"/>
          <w:sz w:val="22"/>
        </w:rPr>
      </w:pPr>
      <w:r w:rsidRPr="00494D64">
        <w:rPr>
          <w:rFonts w:asciiTheme="minorHAnsi" w:hAnsiTheme="minorHAnsi" w:cstheme="minorHAnsi"/>
          <w:sz w:val="22"/>
        </w:rPr>
        <w:t>Paragraph 7.1 above does not apply to statutory maternity leave</w:t>
      </w:r>
      <w:r w:rsidR="00EC0AB2" w:rsidRPr="00494D64">
        <w:rPr>
          <w:rFonts w:asciiTheme="minorHAnsi" w:hAnsiTheme="minorHAnsi" w:cstheme="minorHAnsi"/>
          <w:sz w:val="22"/>
        </w:rPr>
        <w:t>, statutory paternity leave, shared parental leave, statutory adoption leave</w:t>
      </w:r>
      <w:r w:rsidR="00301556">
        <w:rPr>
          <w:rFonts w:asciiTheme="minorHAnsi" w:hAnsiTheme="minorHAnsi" w:cstheme="minorHAnsi"/>
          <w:sz w:val="22"/>
        </w:rPr>
        <w:t>, or parental bereavement leave</w:t>
      </w:r>
      <w:r w:rsidRPr="00494D64">
        <w:rPr>
          <w:rFonts w:asciiTheme="minorHAnsi" w:hAnsiTheme="minorHAnsi" w:cstheme="minorHAnsi"/>
          <w:sz w:val="22"/>
        </w:rPr>
        <w:t xml:space="preserve">, in which case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can decide whether or not to extend the induction period to reflect the number of days absent and it</w:t>
      </w:r>
      <w:r w:rsidR="00CE6411" w:rsidRPr="00494D64">
        <w:rPr>
          <w:rFonts w:asciiTheme="minorHAnsi" w:hAnsiTheme="minorHAnsi" w:cstheme="minorHAnsi"/>
          <w:sz w:val="22"/>
        </w:rPr>
        <w:t xml:space="preserve"> i</w:t>
      </w:r>
      <w:r w:rsidRPr="00494D64">
        <w:rPr>
          <w:rFonts w:asciiTheme="minorHAnsi" w:hAnsiTheme="minorHAnsi" w:cstheme="minorHAnsi"/>
          <w:sz w:val="22"/>
        </w:rPr>
        <w:t xml:space="preserve">s recommended that they seek advice before deciding.  If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chooses to extend the induction period, this request will be granted and their performance will be assessed against the </w:t>
      </w:r>
      <w:bookmarkStart w:id="14" w:name="_Hlk71204979"/>
      <w:r w:rsidR="00EC0AB2" w:rsidRPr="00494D64">
        <w:rPr>
          <w:rFonts w:asciiTheme="minorHAnsi" w:hAnsiTheme="minorHAnsi" w:cstheme="minorHAnsi"/>
          <w:sz w:val="22"/>
        </w:rPr>
        <w:t>Teachers’ Standards</w:t>
      </w:r>
      <w:bookmarkEnd w:id="14"/>
      <w:r w:rsidRPr="00494D64">
        <w:rPr>
          <w:rFonts w:asciiTheme="minorHAnsi" w:hAnsiTheme="minorHAnsi" w:cstheme="minorHAnsi"/>
          <w:sz w:val="22"/>
        </w:rPr>
        <w:t>.</w:t>
      </w:r>
    </w:p>
    <w:p w14:paraId="7D940509" w14:textId="77777777" w:rsidR="00301556" w:rsidRPr="00494D64" w:rsidRDefault="00301556" w:rsidP="00301556">
      <w:pPr>
        <w:pStyle w:val="HeadingLevel2"/>
        <w:numPr>
          <w:ilvl w:val="0"/>
          <w:numId w:val="0"/>
        </w:numPr>
        <w:spacing w:after="0"/>
        <w:ind w:left="720"/>
        <w:rPr>
          <w:rFonts w:asciiTheme="minorHAnsi" w:hAnsiTheme="minorHAnsi" w:cstheme="minorHAnsi"/>
          <w:sz w:val="22"/>
        </w:rPr>
      </w:pPr>
    </w:p>
    <w:p w14:paraId="459519BE" w14:textId="77777777" w:rsidR="000F25B2" w:rsidRPr="00494D64" w:rsidRDefault="000F25B2" w:rsidP="00494D64">
      <w:pPr>
        <w:pStyle w:val="HeadingLevel1"/>
        <w:spacing w:before="0" w:after="0"/>
        <w:rPr>
          <w:rFonts w:asciiTheme="minorHAnsi" w:hAnsiTheme="minorHAnsi" w:cstheme="minorHAnsi"/>
          <w:sz w:val="22"/>
        </w:rPr>
      </w:pPr>
      <w:bookmarkStart w:id="15" w:name="_Toc109387307"/>
      <w:r w:rsidRPr="00494D64">
        <w:rPr>
          <w:rFonts w:asciiTheme="minorHAnsi" w:hAnsiTheme="minorHAnsi" w:cstheme="minorHAnsi"/>
          <w:sz w:val="22"/>
        </w:rPr>
        <w:t>Where there are concerns</w:t>
      </w:r>
      <w:bookmarkEnd w:id="15"/>
    </w:p>
    <w:p w14:paraId="40CDCEA3" w14:textId="63CF90A7" w:rsidR="001D45CB" w:rsidRPr="00494D64" w:rsidRDefault="000F25B2"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it becomes apparent </w:t>
      </w:r>
      <w:r w:rsidR="001D45CB" w:rsidRPr="00494D64">
        <w:rPr>
          <w:rFonts w:asciiTheme="minorHAnsi" w:hAnsiTheme="minorHAnsi" w:cstheme="minorHAnsi"/>
          <w:sz w:val="22"/>
        </w:rPr>
        <w:t xml:space="preserve">during progress reviews, that </w:t>
      </w: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not making satisfactory progress</w:t>
      </w:r>
      <w:r w:rsidR="001D45CB" w:rsidRPr="00494D64">
        <w:rPr>
          <w:rFonts w:asciiTheme="minorHAnsi" w:hAnsiTheme="minorHAnsi" w:cstheme="minorHAnsi"/>
          <w:sz w:val="22"/>
        </w:rPr>
        <w:t xml:space="preserve"> against the Teachers’ Standards</w:t>
      </w:r>
      <w:r w:rsidRPr="00494D64">
        <w:rPr>
          <w:rFonts w:asciiTheme="minorHAnsi" w:hAnsiTheme="minorHAnsi" w:cstheme="minorHAnsi"/>
          <w:sz w:val="22"/>
        </w:rPr>
        <w:t xml:space="preserve">, </w:t>
      </w:r>
      <w:r w:rsidR="001D45CB" w:rsidRPr="00494D64">
        <w:rPr>
          <w:rFonts w:asciiTheme="minorHAnsi" w:hAnsiTheme="minorHAnsi" w:cstheme="minorHAnsi"/>
          <w:sz w:val="22"/>
        </w:rPr>
        <w:t>the induction tutor should state this clearly within the progress review record and outline the support plan to be put in place to assist the ECT in getting back on track. The induction tutor is expected to notify the appropriate body of this determination and share both the progress review record and support plan for the appropriate body to review.</w:t>
      </w:r>
    </w:p>
    <w:p w14:paraId="04096013" w14:textId="65AA0BEB" w:rsidR="000F25B2" w:rsidRPr="00494D64" w:rsidRDefault="001D45CB"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during the first formal assessment, it becomes apparent that the ECT is not making satisfactory progress, </w:t>
      </w:r>
      <w:r w:rsidR="000F25B2" w:rsidRPr="00494D64">
        <w:rPr>
          <w:rFonts w:asciiTheme="minorHAnsi" w:hAnsiTheme="minorHAnsi" w:cstheme="minorHAnsi"/>
          <w:sz w:val="22"/>
        </w:rPr>
        <w:t>we will</w:t>
      </w:r>
      <w:bookmarkStart w:id="16" w:name="_Toc369515821"/>
      <w:r w:rsidR="000F25B2" w:rsidRPr="00494D64">
        <w:rPr>
          <w:rFonts w:asciiTheme="minorHAnsi" w:hAnsiTheme="minorHAnsi" w:cstheme="minorHAnsi"/>
          <w:sz w:val="22"/>
        </w:rPr>
        <w:t xml:space="preserve"> inform the appropriate body and </w:t>
      </w:r>
      <w:r w:rsidRPr="00494D64">
        <w:rPr>
          <w:rFonts w:asciiTheme="minorHAnsi" w:hAnsiTheme="minorHAnsi" w:cstheme="minorHAnsi"/>
          <w:sz w:val="22"/>
        </w:rPr>
        <w:t>the</w:t>
      </w:r>
      <w:r w:rsidR="00301556">
        <w:rPr>
          <w:rFonts w:asciiTheme="minorHAnsi" w:hAnsiTheme="minorHAnsi" w:cstheme="minorHAnsi"/>
          <w:sz w:val="22"/>
        </w:rPr>
        <w:t xml:space="preserve"> Headteacher</w:t>
      </w:r>
      <w:r w:rsidRPr="00494D64">
        <w:rPr>
          <w:rFonts w:asciiTheme="minorHAnsi" w:hAnsiTheme="minorHAnsi" w:cstheme="minorHAnsi"/>
          <w:sz w:val="22"/>
        </w:rPr>
        <w:t xml:space="preserve"> should ensure appropriate measures are put in place immediately </w:t>
      </w:r>
      <w:bookmarkEnd w:id="16"/>
      <w:r w:rsidRPr="00494D64">
        <w:rPr>
          <w:rFonts w:asciiTheme="minorHAnsi" w:hAnsiTheme="minorHAnsi" w:cstheme="minorHAnsi"/>
          <w:sz w:val="22"/>
        </w:rPr>
        <w:t>and will</w:t>
      </w:r>
      <w:r w:rsidR="000F25B2" w:rsidRPr="00494D64">
        <w:rPr>
          <w:rFonts w:asciiTheme="minorHAnsi" w:hAnsiTheme="minorHAnsi" w:cstheme="minorHAnsi"/>
          <w:sz w:val="22"/>
        </w:rPr>
        <w:t>:</w:t>
      </w:r>
    </w:p>
    <w:p w14:paraId="76B76867" w14:textId="77777777"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make clear the areas in which improvement is needed;</w:t>
      </w:r>
    </w:p>
    <w:p w14:paraId="752D3DC3" w14:textId="7ED5E49E"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give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the opportunity to comment on and discuss the concerns;</w:t>
      </w:r>
    </w:p>
    <w:p w14:paraId="63A755E7" w14:textId="39F94023"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find out of there are any issues (both in or outside of work) that are affecting their performance that the induction tutor or another appropriate person can assist with or provide support;</w:t>
      </w:r>
    </w:p>
    <w:p w14:paraId="259766B2" w14:textId="3546B3D3"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put in place </w:t>
      </w:r>
      <w:r w:rsidR="00DB192B" w:rsidRPr="00494D64">
        <w:rPr>
          <w:rFonts w:asciiTheme="minorHAnsi" w:hAnsiTheme="minorHAnsi" w:cstheme="minorHAnsi"/>
          <w:sz w:val="22"/>
        </w:rPr>
        <w:t xml:space="preserve">additional monitoring and </w:t>
      </w:r>
      <w:r w:rsidRPr="00494D64">
        <w:rPr>
          <w:rFonts w:asciiTheme="minorHAnsi" w:hAnsiTheme="minorHAnsi" w:cstheme="minorHAnsi"/>
          <w:sz w:val="22"/>
        </w:rPr>
        <w:t xml:space="preserve">any support that will be provided to help address </w:t>
      </w:r>
      <w:r w:rsidR="00DB192B" w:rsidRPr="00494D64">
        <w:rPr>
          <w:rFonts w:asciiTheme="minorHAnsi" w:hAnsiTheme="minorHAnsi" w:cstheme="minorHAnsi"/>
          <w:sz w:val="22"/>
        </w:rPr>
        <w:t>the specific areas and improve their performance</w:t>
      </w:r>
      <w:r w:rsidR="00ED238F" w:rsidRPr="00494D64">
        <w:rPr>
          <w:rFonts w:asciiTheme="minorHAnsi" w:hAnsiTheme="minorHAnsi" w:cstheme="minorHAnsi"/>
          <w:sz w:val="22"/>
        </w:rPr>
        <w:t>;</w:t>
      </w:r>
    </w:p>
    <w:p w14:paraId="3C4B8418" w14:textId="69705B09" w:rsidR="000F25B2" w:rsidRPr="00494D64" w:rsidRDefault="000F25B2" w:rsidP="00494D64">
      <w:pPr>
        <w:pStyle w:val="HeadingLevel3"/>
        <w:spacing w:after="0"/>
        <w:rPr>
          <w:rFonts w:asciiTheme="minorHAnsi" w:hAnsiTheme="minorHAnsi" w:cstheme="minorHAnsi"/>
          <w:sz w:val="22"/>
        </w:rPr>
      </w:pPr>
      <w:r w:rsidRPr="00494D64">
        <w:rPr>
          <w:rFonts w:asciiTheme="minorHAnsi" w:hAnsiTheme="minorHAnsi" w:cstheme="minorHAnsi"/>
          <w:sz w:val="22"/>
        </w:rPr>
        <w:t>set appropriate objectives to gui</w:t>
      </w:r>
      <w:r w:rsidR="00DB192B" w:rsidRPr="00494D64">
        <w:rPr>
          <w:rFonts w:asciiTheme="minorHAnsi" w:hAnsiTheme="minorHAnsi" w:cstheme="minorHAnsi"/>
          <w:sz w:val="22"/>
        </w:rPr>
        <w:t>d</w:t>
      </w:r>
      <w:r w:rsidRPr="00494D64">
        <w:rPr>
          <w:rFonts w:asciiTheme="minorHAnsi" w:hAnsiTheme="minorHAnsi" w:cstheme="minorHAnsi"/>
          <w:sz w:val="22"/>
        </w:rPr>
        <w:t xml:space="preserve">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towards satisfactory performance </w:t>
      </w:r>
      <w:r w:rsidR="00DB192B" w:rsidRPr="00494D64">
        <w:rPr>
          <w:rFonts w:asciiTheme="minorHAnsi" w:hAnsiTheme="minorHAnsi" w:cstheme="minorHAnsi"/>
          <w:sz w:val="22"/>
        </w:rPr>
        <w:t>against</w:t>
      </w:r>
      <w:r w:rsidRPr="00494D64">
        <w:rPr>
          <w:rFonts w:asciiTheme="minorHAnsi" w:hAnsiTheme="minorHAnsi" w:cstheme="minorHAnsi"/>
          <w:sz w:val="22"/>
        </w:rPr>
        <w:t xml:space="preserve"> the </w:t>
      </w:r>
      <w:r w:rsidR="00EC0AB2" w:rsidRPr="00494D64">
        <w:rPr>
          <w:rFonts w:asciiTheme="minorHAnsi" w:hAnsiTheme="minorHAnsi" w:cstheme="minorHAnsi"/>
          <w:sz w:val="22"/>
        </w:rPr>
        <w:t>Teachers’ Standards</w:t>
      </w:r>
      <w:r w:rsidR="00ED238F" w:rsidRPr="00494D64">
        <w:rPr>
          <w:rFonts w:asciiTheme="minorHAnsi" w:hAnsiTheme="minorHAnsi" w:cstheme="minorHAnsi"/>
          <w:sz w:val="22"/>
        </w:rPr>
        <w:t>;</w:t>
      </w:r>
    </w:p>
    <w:p w14:paraId="381766DC" w14:textId="77777777" w:rsidR="00DB192B" w:rsidRPr="00494D64" w:rsidRDefault="00DB192B"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make clear how, and by when, progress will be reviewed, giving every opportunity for improvement.  </w:t>
      </w:r>
    </w:p>
    <w:p w14:paraId="265BCC19" w14:textId="723C0349" w:rsidR="001D45CB" w:rsidRPr="00494D64" w:rsidRDefault="001D45CB"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ECT’s progress is still unsatisfactory in subsequent progress reviews following the first assessment point, induction tutors should continue to deliver progress reviews, including reviewing and revising the ECT’s objectives and support plan, linking these with the Teachers’ Standards and sharing with the ECT, </w:t>
      </w:r>
      <w:r w:rsidR="00D64AF3">
        <w:rPr>
          <w:rFonts w:asciiTheme="minorHAnsi" w:hAnsiTheme="minorHAnsi" w:cstheme="minorHAnsi"/>
          <w:sz w:val="22"/>
        </w:rPr>
        <w:t>H</w:t>
      </w:r>
      <w:r w:rsidRPr="00494D64">
        <w:rPr>
          <w:rFonts w:asciiTheme="minorHAnsi" w:hAnsiTheme="minorHAnsi" w:cstheme="minorHAnsi"/>
          <w:sz w:val="22"/>
        </w:rPr>
        <w:t>eadteacher and appropriate body.</w:t>
      </w:r>
    </w:p>
    <w:p w14:paraId="74D1CD1A" w14:textId="690B725B" w:rsidR="000F25B2" w:rsidRPr="00494D64" w:rsidRDefault="00DB192B"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w:t>
      </w:r>
      <w:r w:rsidR="001D45CB" w:rsidRPr="00494D64">
        <w:rPr>
          <w:rFonts w:asciiTheme="minorHAnsi" w:hAnsiTheme="minorHAnsi" w:cstheme="minorHAnsi"/>
          <w:sz w:val="22"/>
        </w:rPr>
        <w:t>there are still concerns between formal assessment one and two,</w:t>
      </w:r>
      <w:r w:rsidRPr="00494D64">
        <w:rPr>
          <w:rFonts w:asciiTheme="minorHAnsi" w:hAnsiTheme="minorHAnsi" w:cstheme="minorHAnsi"/>
          <w:sz w:val="22"/>
        </w:rPr>
        <w:t xml:space="preserve"> despite the additional monitoring and support measures put in place, the</w:t>
      </w:r>
      <w:r w:rsidR="00D64AF3">
        <w:rPr>
          <w:rFonts w:asciiTheme="minorHAnsi" w:hAnsiTheme="minorHAnsi" w:cstheme="minorHAnsi"/>
          <w:sz w:val="22"/>
        </w:rPr>
        <w:t xml:space="preserve"> Headteacher</w:t>
      </w:r>
      <w:r w:rsidRPr="00494D64">
        <w:rPr>
          <w:rFonts w:asciiTheme="minorHAnsi" w:hAnsiTheme="minorHAnsi" w:cstheme="minorHAnsi"/>
          <w:sz w:val="22"/>
        </w:rPr>
        <w:t xml:space="preserve"> will</w:t>
      </w:r>
      <w:r w:rsidR="00615990" w:rsidRPr="00494D64">
        <w:rPr>
          <w:rFonts w:asciiTheme="minorHAnsi" w:hAnsiTheme="minorHAnsi" w:cstheme="minorHAnsi"/>
          <w:sz w:val="22"/>
        </w:rPr>
        <w:t xml:space="preserve"> discuss the following with the </w:t>
      </w:r>
      <w:r w:rsidR="005C10FC" w:rsidRPr="00494D64">
        <w:rPr>
          <w:rFonts w:asciiTheme="minorHAnsi" w:hAnsiTheme="minorHAnsi" w:cstheme="minorHAnsi"/>
          <w:sz w:val="22"/>
        </w:rPr>
        <w:t>ECT</w:t>
      </w:r>
      <w:r w:rsidR="00615990" w:rsidRPr="00494D64">
        <w:rPr>
          <w:rFonts w:asciiTheme="minorHAnsi" w:hAnsiTheme="minorHAnsi" w:cstheme="minorHAnsi"/>
          <w:sz w:val="22"/>
        </w:rPr>
        <w:t>, brief details of which will be included on the formal assessment report</w:t>
      </w:r>
      <w:r w:rsidRPr="00494D64">
        <w:rPr>
          <w:rFonts w:asciiTheme="minorHAnsi" w:hAnsiTheme="minorHAnsi" w:cstheme="minorHAnsi"/>
          <w:sz w:val="22"/>
        </w:rPr>
        <w:t>:</w:t>
      </w:r>
    </w:p>
    <w:p w14:paraId="2FB64DB7"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t</w:t>
      </w:r>
      <w:r w:rsidR="00DB192B" w:rsidRPr="00494D64">
        <w:rPr>
          <w:rFonts w:asciiTheme="minorHAnsi" w:hAnsiTheme="minorHAnsi" w:cstheme="minorHAnsi"/>
          <w:sz w:val="22"/>
        </w:rPr>
        <w:t xml:space="preserve">he identified weaknesses and the evidence used to inform the judgement; </w:t>
      </w:r>
    </w:p>
    <w:p w14:paraId="7FD03547" w14:textId="436D97DB"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g</w:t>
      </w:r>
      <w:r w:rsidR="00DB192B" w:rsidRPr="00494D64">
        <w:rPr>
          <w:rFonts w:asciiTheme="minorHAnsi" w:hAnsiTheme="minorHAnsi" w:cstheme="minorHAnsi"/>
          <w:sz w:val="22"/>
        </w:rPr>
        <w:t xml:space="preserve">ive the </w:t>
      </w:r>
      <w:r w:rsidR="005C10FC" w:rsidRPr="00494D64">
        <w:rPr>
          <w:rFonts w:asciiTheme="minorHAnsi" w:hAnsiTheme="minorHAnsi" w:cstheme="minorHAnsi"/>
          <w:sz w:val="22"/>
        </w:rPr>
        <w:t>ECT</w:t>
      </w:r>
      <w:r w:rsidR="00DB192B" w:rsidRPr="00494D64">
        <w:rPr>
          <w:rFonts w:asciiTheme="minorHAnsi" w:hAnsiTheme="minorHAnsi" w:cstheme="minorHAnsi"/>
          <w:sz w:val="22"/>
        </w:rPr>
        <w:t xml:space="preserve"> the opportunity to comment on and discuss the concerns;</w:t>
      </w:r>
    </w:p>
    <w:p w14:paraId="7198CFCA"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lastRenderedPageBreak/>
        <w:t>t</w:t>
      </w:r>
      <w:r w:rsidR="00DB192B" w:rsidRPr="00494D64">
        <w:rPr>
          <w:rFonts w:asciiTheme="minorHAnsi" w:hAnsiTheme="minorHAnsi" w:cstheme="minorHAnsi"/>
          <w:sz w:val="22"/>
        </w:rPr>
        <w:t xml:space="preserve">he agreed objectives previously set and review progress, either by setting new and clear objectives or by updating current objectives; </w:t>
      </w:r>
    </w:p>
    <w:p w14:paraId="0E6860E9"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t</w:t>
      </w:r>
      <w:r w:rsidR="00DB192B" w:rsidRPr="00494D64">
        <w:rPr>
          <w:rFonts w:asciiTheme="minorHAnsi" w:hAnsiTheme="minorHAnsi" w:cstheme="minorHAnsi"/>
          <w:sz w:val="22"/>
        </w:rPr>
        <w:t>he additional monitoring and support put in place and put in place any further monitoring and support that will be provided to address the specific areas and improve their performance</w:t>
      </w:r>
      <w:r w:rsidRPr="00494D64">
        <w:rPr>
          <w:rFonts w:asciiTheme="minorHAnsi" w:hAnsiTheme="minorHAnsi" w:cstheme="minorHAnsi"/>
          <w:sz w:val="22"/>
        </w:rPr>
        <w:t>;</w:t>
      </w:r>
    </w:p>
    <w:p w14:paraId="555A8D1B"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d</w:t>
      </w:r>
      <w:r w:rsidR="00DB192B" w:rsidRPr="00494D64">
        <w:rPr>
          <w:rFonts w:asciiTheme="minorHAnsi" w:hAnsiTheme="minorHAnsi" w:cstheme="minorHAnsi"/>
          <w:sz w:val="22"/>
        </w:rPr>
        <w:t>etails of the improvement plan f</w:t>
      </w:r>
      <w:r w:rsidRPr="00494D64">
        <w:rPr>
          <w:rFonts w:asciiTheme="minorHAnsi" w:hAnsiTheme="minorHAnsi" w:cstheme="minorHAnsi"/>
          <w:sz w:val="22"/>
        </w:rPr>
        <w:t>or the next assessment period;</w:t>
      </w:r>
    </w:p>
    <w:p w14:paraId="0DE42312" w14:textId="77777777" w:rsidR="00DB192B" w:rsidRPr="00494D64" w:rsidRDefault="00ED238F" w:rsidP="00494D64">
      <w:pPr>
        <w:pStyle w:val="HeadingLevel3"/>
        <w:spacing w:after="0"/>
        <w:rPr>
          <w:rFonts w:asciiTheme="minorHAnsi" w:hAnsiTheme="minorHAnsi" w:cstheme="minorHAnsi"/>
          <w:sz w:val="22"/>
        </w:rPr>
      </w:pPr>
      <w:r w:rsidRPr="00494D64">
        <w:rPr>
          <w:rFonts w:asciiTheme="minorHAnsi" w:hAnsiTheme="minorHAnsi" w:cstheme="minorHAnsi"/>
          <w:sz w:val="22"/>
        </w:rPr>
        <w:t>t</w:t>
      </w:r>
      <w:r w:rsidR="00DB192B" w:rsidRPr="00494D64">
        <w:rPr>
          <w:rFonts w:asciiTheme="minorHAnsi" w:hAnsiTheme="minorHAnsi" w:cstheme="minorHAnsi"/>
          <w:sz w:val="22"/>
        </w:rPr>
        <w:t>he consequences of failure to complete the induction period satisfactorily</w:t>
      </w:r>
      <w:r w:rsidRPr="00494D64">
        <w:rPr>
          <w:rFonts w:asciiTheme="minorHAnsi" w:hAnsiTheme="minorHAnsi" w:cstheme="minorHAnsi"/>
          <w:sz w:val="22"/>
        </w:rPr>
        <w:t>.</w:t>
      </w:r>
    </w:p>
    <w:p w14:paraId="2B6AFFFE" w14:textId="5982F495" w:rsidR="001D45CB" w:rsidRPr="00494D64" w:rsidRDefault="001D45CB" w:rsidP="00494D64">
      <w:pPr>
        <w:pStyle w:val="HeadingLevel3"/>
        <w:spacing w:after="0"/>
        <w:rPr>
          <w:rFonts w:asciiTheme="minorHAnsi" w:hAnsiTheme="minorHAnsi" w:cstheme="minorHAnsi"/>
          <w:sz w:val="22"/>
        </w:rPr>
      </w:pPr>
      <w:r w:rsidRPr="00494D64">
        <w:rPr>
          <w:rFonts w:asciiTheme="minorHAnsi" w:hAnsiTheme="minorHAnsi" w:cstheme="minorHAnsi"/>
          <w:sz w:val="22"/>
        </w:rPr>
        <w:t>As with all progress reviews, the progress review record should capture the ECT’s unsatisfactory performance against the Teachers’ Standards and be shared with the appropriate body alongside the corresponding support plan.</w:t>
      </w:r>
    </w:p>
    <w:p w14:paraId="23CAAD30" w14:textId="710C83B4" w:rsidR="00C0138D"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concerns about the </w:t>
      </w:r>
      <w:r w:rsidR="005C10FC" w:rsidRPr="00494D64">
        <w:rPr>
          <w:rFonts w:asciiTheme="minorHAnsi" w:hAnsiTheme="minorHAnsi" w:cstheme="minorHAnsi"/>
          <w:sz w:val="22"/>
        </w:rPr>
        <w:t>ECT</w:t>
      </w:r>
      <w:r w:rsidRPr="00494D64">
        <w:rPr>
          <w:rFonts w:asciiTheme="minorHAnsi" w:hAnsiTheme="minorHAnsi" w:cstheme="minorHAnsi"/>
          <w:sz w:val="22"/>
        </w:rPr>
        <w:t>’s progress are very serious, we may</w:t>
      </w:r>
      <w:r w:rsidR="0016223E" w:rsidRPr="00494D64">
        <w:rPr>
          <w:rFonts w:asciiTheme="minorHAnsi" w:hAnsiTheme="minorHAnsi" w:cstheme="minorHAnsi"/>
          <w:sz w:val="22"/>
        </w:rPr>
        <w:t xml:space="preserve"> </w:t>
      </w:r>
      <w:r w:rsidRPr="00494D64">
        <w:rPr>
          <w:rFonts w:asciiTheme="minorHAnsi" w:hAnsiTheme="minorHAnsi" w:cstheme="minorHAnsi"/>
          <w:sz w:val="22"/>
        </w:rPr>
        <w:t>instigate formal capabilit</w:t>
      </w:r>
      <w:r w:rsidR="00D64AF3">
        <w:rPr>
          <w:rFonts w:asciiTheme="minorHAnsi" w:hAnsiTheme="minorHAnsi" w:cstheme="minorHAnsi"/>
          <w:sz w:val="22"/>
        </w:rPr>
        <w:t xml:space="preserve">y proceedings in line with our </w:t>
      </w:r>
      <w:r w:rsidRPr="00D64AF3">
        <w:rPr>
          <w:rFonts w:asciiTheme="minorHAnsi" w:hAnsiTheme="minorHAnsi" w:cstheme="minorHAnsi"/>
          <w:sz w:val="22"/>
        </w:rPr>
        <w:t>Capability Policy,</w:t>
      </w:r>
      <w:r w:rsidRPr="00494D64">
        <w:rPr>
          <w:rFonts w:asciiTheme="minorHAnsi" w:hAnsiTheme="minorHAnsi" w:cstheme="minorHAnsi"/>
          <w:sz w:val="22"/>
        </w:rPr>
        <w:t xml:space="preserve"> which may lead to dismissal before the end of the induction period.  The induction process set out in this policy will continue alongside the capability procedure and we will inform the appropriate body.  This will not prevent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from completing induction at another institution</w:t>
      </w:r>
      <w:r w:rsidR="00ED238F" w:rsidRPr="00494D64">
        <w:rPr>
          <w:rFonts w:asciiTheme="minorHAnsi" w:hAnsiTheme="minorHAnsi" w:cstheme="minorHAnsi"/>
          <w:sz w:val="22"/>
        </w:rPr>
        <w:t>,</w:t>
      </w:r>
      <w:r w:rsidRPr="00494D64">
        <w:rPr>
          <w:rFonts w:asciiTheme="minorHAnsi" w:hAnsiTheme="minorHAnsi" w:cstheme="minorHAnsi"/>
          <w:sz w:val="22"/>
        </w:rPr>
        <w:t xml:space="preserve"> as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will not</w:t>
      </w:r>
      <w:r w:rsidR="00ED238F" w:rsidRPr="00494D64">
        <w:rPr>
          <w:rFonts w:asciiTheme="minorHAnsi" w:hAnsiTheme="minorHAnsi" w:cstheme="minorHAnsi"/>
          <w:sz w:val="22"/>
        </w:rPr>
        <w:t xml:space="preserve"> have</w:t>
      </w:r>
      <w:r w:rsidRPr="00494D64">
        <w:rPr>
          <w:rFonts w:asciiTheme="minorHAnsi" w:hAnsiTheme="minorHAnsi" w:cstheme="minorHAnsi"/>
          <w:sz w:val="22"/>
        </w:rPr>
        <w:t xml:space="preserve"> completed a full induction period in order for a decision to be made by the appropriate body whether or not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has failed to satisfactorily complete induction.</w:t>
      </w:r>
    </w:p>
    <w:p w14:paraId="08258103" w14:textId="77777777" w:rsidR="00D64AF3" w:rsidRPr="00494D64" w:rsidRDefault="00D64AF3" w:rsidP="00D64AF3">
      <w:pPr>
        <w:pStyle w:val="HeadingLevel2"/>
        <w:numPr>
          <w:ilvl w:val="0"/>
          <w:numId w:val="0"/>
        </w:numPr>
        <w:spacing w:after="0"/>
        <w:ind w:left="720"/>
        <w:rPr>
          <w:rFonts w:asciiTheme="minorHAnsi" w:hAnsiTheme="minorHAnsi" w:cstheme="minorHAnsi"/>
          <w:sz w:val="22"/>
        </w:rPr>
      </w:pPr>
    </w:p>
    <w:p w14:paraId="373F8B1B" w14:textId="57807B5F" w:rsidR="00C0138D" w:rsidRPr="00494D64" w:rsidRDefault="00C0138D" w:rsidP="00494D64">
      <w:pPr>
        <w:pStyle w:val="HeadingLevel1"/>
        <w:spacing w:before="0" w:after="0"/>
        <w:rPr>
          <w:rFonts w:asciiTheme="minorHAnsi" w:hAnsiTheme="minorHAnsi" w:cstheme="minorHAnsi"/>
          <w:sz w:val="22"/>
        </w:rPr>
      </w:pPr>
      <w:bookmarkStart w:id="17" w:name="_Toc109387308"/>
      <w:r w:rsidRPr="00494D64">
        <w:rPr>
          <w:rFonts w:asciiTheme="minorHAnsi" w:hAnsiTheme="minorHAnsi" w:cstheme="minorHAnsi"/>
          <w:sz w:val="22"/>
        </w:rPr>
        <w:t xml:space="preserve">Completion of the </w:t>
      </w:r>
      <w:r w:rsidR="00EB160E" w:rsidRPr="00494D64">
        <w:rPr>
          <w:rFonts w:asciiTheme="minorHAnsi" w:hAnsiTheme="minorHAnsi" w:cstheme="minorHAnsi"/>
          <w:sz w:val="22"/>
        </w:rPr>
        <w:t>p</w:t>
      </w:r>
      <w:r w:rsidRPr="00494D64">
        <w:rPr>
          <w:rFonts w:asciiTheme="minorHAnsi" w:hAnsiTheme="minorHAnsi" w:cstheme="minorHAnsi"/>
          <w:sz w:val="22"/>
        </w:rPr>
        <w:t xml:space="preserve">robation </w:t>
      </w:r>
      <w:r w:rsidR="00EB160E" w:rsidRPr="00494D64">
        <w:rPr>
          <w:rFonts w:asciiTheme="minorHAnsi" w:hAnsiTheme="minorHAnsi" w:cstheme="minorHAnsi"/>
          <w:sz w:val="22"/>
        </w:rPr>
        <w:t>p</w:t>
      </w:r>
      <w:r w:rsidRPr="00494D64">
        <w:rPr>
          <w:rFonts w:asciiTheme="minorHAnsi" w:hAnsiTheme="minorHAnsi" w:cstheme="minorHAnsi"/>
          <w:sz w:val="22"/>
        </w:rPr>
        <w:t>eriod</w:t>
      </w:r>
      <w:bookmarkEnd w:id="17"/>
    </w:p>
    <w:p w14:paraId="2629C32B" w14:textId="00649EFF" w:rsidR="00D32ACA" w:rsidRPr="00494D64" w:rsidRDefault="00C0138D" w:rsidP="00494D64">
      <w:pPr>
        <w:pStyle w:val="HeadingLevel2"/>
        <w:spacing w:after="0"/>
        <w:rPr>
          <w:rFonts w:asciiTheme="minorHAnsi" w:hAnsiTheme="minorHAnsi" w:cstheme="minorHAnsi"/>
          <w:b/>
          <w:sz w:val="22"/>
          <w:lang w:val="en-US"/>
        </w:rPr>
      </w:pPr>
      <w:bookmarkStart w:id="18" w:name="_Toc109387194"/>
      <w:r w:rsidRPr="00494D64">
        <w:rPr>
          <w:rFonts w:asciiTheme="minorHAnsi" w:hAnsiTheme="minorHAnsi" w:cstheme="minorHAnsi"/>
          <w:sz w:val="22"/>
          <w:lang w:val="en-US"/>
        </w:rPr>
        <w:t xml:space="preserve">The first six months of </w:t>
      </w:r>
      <w:r w:rsidR="00D32ACA" w:rsidRPr="00494D64">
        <w:rPr>
          <w:rFonts w:asciiTheme="minorHAnsi" w:hAnsiTheme="minorHAnsi" w:cstheme="minorHAnsi"/>
          <w:sz w:val="22"/>
          <w:lang w:val="en-US"/>
        </w:rPr>
        <w:t>an</w:t>
      </w:r>
      <w:r w:rsidRPr="00494D64">
        <w:rPr>
          <w:rFonts w:asciiTheme="minorHAnsi" w:hAnsiTheme="minorHAnsi" w:cstheme="minorHAnsi"/>
          <w:sz w:val="22"/>
          <w:lang w:val="en-US"/>
        </w:rPr>
        <w:t xml:space="preserve"> ECT’s employment </w:t>
      </w:r>
      <w:r w:rsidR="00584317" w:rsidRPr="00494D64">
        <w:rPr>
          <w:rFonts w:asciiTheme="minorHAnsi" w:hAnsiTheme="minorHAnsi" w:cstheme="minorHAnsi"/>
          <w:sz w:val="22"/>
          <w:lang w:val="en-US"/>
        </w:rPr>
        <w:t xml:space="preserve">is subject to </w:t>
      </w:r>
      <w:r w:rsidRPr="00494D64">
        <w:rPr>
          <w:rFonts w:asciiTheme="minorHAnsi" w:hAnsiTheme="minorHAnsi" w:cstheme="minorHAnsi"/>
          <w:sz w:val="22"/>
          <w:lang w:val="en-US"/>
        </w:rPr>
        <w:t xml:space="preserve">a probationary period and </w:t>
      </w:r>
      <w:r w:rsidR="00584317" w:rsidRPr="00494D64">
        <w:rPr>
          <w:rFonts w:asciiTheme="minorHAnsi" w:hAnsiTheme="minorHAnsi" w:cstheme="minorHAnsi"/>
          <w:sz w:val="22"/>
          <w:lang w:val="en-US"/>
        </w:rPr>
        <w:t>performance and suitability for continued employment will be assessed in line with the probation process</w:t>
      </w:r>
      <w:r w:rsidR="00531D7E" w:rsidRPr="00494D64">
        <w:rPr>
          <w:rFonts w:asciiTheme="minorHAnsi" w:hAnsiTheme="minorHAnsi" w:cstheme="minorHAnsi"/>
          <w:sz w:val="22"/>
          <w:lang w:val="en-US"/>
        </w:rPr>
        <w:t>.  Notice provisions are outlined</w:t>
      </w:r>
      <w:r w:rsidR="00D32ACA" w:rsidRPr="00494D64">
        <w:rPr>
          <w:rFonts w:asciiTheme="minorHAnsi" w:hAnsiTheme="minorHAnsi" w:cstheme="minorHAnsi"/>
          <w:sz w:val="22"/>
          <w:lang w:val="en-US"/>
        </w:rPr>
        <w:t xml:space="preserve"> in the contract of employment. </w:t>
      </w:r>
      <w:bookmarkEnd w:id="18"/>
    </w:p>
    <w:p w14:paraId="551A13E5" w14:textId="77777777" w:rsidR="00BB21F0" w:rsidRPr="00494D64" w:rsidRDefault="00BB21F0" w:rsidP="00494D64">
      <w:pPr>
        <w:pStyle w:val="BodyText1"/>
        <w:spacing w:after="0"/>
        <w:contextualSpacing/>
        <w:rPr>
          <w:rFonts w:asciiTheme="minorHAnsi" w:hAnsiTheme="minorHAnsi" w:cstheme="minorHAnsi"/>
          <w:sz w:val="22"/>
          <w:szCs w:val="22"/>
          <w:lang w:val="en-US"/>
        </w:rPr>
      </w:pPr>
    </w:p>
    <w:p w14:paraId="20FC00CF" w14:textId="39F0AA6A" w:rsidR="00615990" w:rsidRPr="00494D64" w:rsidRDefault="00D32ACA" w:rsidP="00494D64">
      <w:pPr>
        <w:pStyle w:val="BodyText1"/>
        <w:spacing w:after="0"/>
        <w:ind w:left="0"/>
        <w:rPr>
          <w:rFonts w:asciiTheme="minorHAnsi" w:hAnsiTheme="minorHAnsi" w:cstheme="minorHAnsi"/>
          <w:sz w:val="22"/>
          <w:szCs w:val="22"/>
        </w:rPr>
      </w:pPr>
      <w:r w:rsidRPr="00494D64">
        <w:rPr>
          <w:rFonts w:asciiTheme="minorHAnsi" w:hAnsiTheme="minorHAnsi" w:cstheme="minorHAnsi"/>
          <w:b/>
          <w:bCs/>
          <w:sz w:val="22"/>
          <w:szCs w:val="22"/>
        </w:rPr>
        <w:t>10</w:t>
      </w:r>
      <w:r w:rsidRPr="00494D64">
        <w:rPr>
          <w:rFonts w:asciiTheme="minorHAnsi" w:hAnsiTheme="minorHAnsi" w:cstheme="minorHAnsi"/>
          <w:b/>
          <w:bCs/>
          <w:sz w:val="22"/>
          <w:szCs w:val="22"/>
        </w:rPr>
        <w:tab/>
      </w:r>
      <w:r w:rsidR="00615990" w:rsidRPr="00494D64">
        <w:rPr>
          <w:rFonts w:asciiTheme="minorHAnsi" w:hAnsiTheme="minorHAnsi" w:cstheme="minorHAnsi"/>
          <w:b/>
          <w:bCs/>
          <w:sz w:val="22"/>
          <w:szCs w:val="22"/>
        </w:rPr>
        <w:t>Completion of the induction period</w:t>
      </w:r>
    </w:p>
    <w:p w14:paraId="3AA71506" w14:textId="77777777" w:rsidR="00BB21F0" w:rsidRPr="00494D64" w:rsidRDefault="00BB21F0" w:rsidP="00494D64">
      <w:pPr>
        <w:pStyle w:val="ListParagraph"/>
        <w:keepNext/>
        <w:keepLines/>
        <w:numPr>
          <w:ilvl w:val="0"/>
          <w:numId w:val="2"/>
        </w:numPr>
        <w:contextualSpacing w:val="0"/>
        <w:outlineLvl w:val="0"/>
        <w:rPr>
          <w:rFonts w:asciiTheme="minorHAnsi" w:hAnsiTheme="minorHAnsi" w:cstheme="minorHAnsi"/>
          <w:b/>
          <w:vanish/>
          <w:sz w:val="22"/>
          <w:szCs w:val="22"/>
        </w:rPr>
      </w:pPr>
    </w:p>
    <w:p w14:paraId="7EB7C0FD" w14:textId="08D25CF1"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A final assessment will normally be carried out at the end of the induction period, by the </w:t>
      </w:r>
      <w:r w:rsidR="00D64AF3">
        <w:rPr>
          <w:rFonts w:asciiTheme="minorHAnsi" w:hAnsiTheme="minorHAnsi" w:cstheme="minorHAnsi"/>
          <w:sz w:val="22"/>
        </w:rPr>
        <w:t>Headteacher</w:t>
      </w:r>
      <w:r w:rsidR="00D64AF3" w:rsidRPr="00494D64">
        <w:rPr>
          <w:rFonts w:asciiTheme="minorHAnsi" w:hAnsiTheme="minorHAnsi" w:cstheme="minorHAnsi"/>
          <w:sz w:val="22"/>
        </w:rPr>
        <w:t xml:space="preserve"> </w:t>
      </w:r>
      <w:r w:rsidRPr="00494D64">
        <w:rPr>
          <w:rFonts w:asciiTheme="minorHAnsi" w:hAnsiTheme="minorHAnsi" w:cstheme="minorHAnsi"/>
          <w:sz w:val="22"/>
        </w:rPr>
        <w:t xml:space="preserve">or the induction tutor.  We will agree with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exactly when this assessment date will be.  The assessment will use evidence gathered from the </w:t>
      </w:r>
      <w:r w:rsidR="005C10FC" w:rsidRPr="00494D64">
        <w:rPr>
          <w:rFonts w:asciiTheme="minorHAnsi" w:hAnsiTheme="minorHAnsi" w:cstheme="minorHAnsi"/>
          <w:sz w:val="22"/>
        </w:rPr>
        <w:t>ECT</w:t>
      </w:r>
      <w:r w:rsidRPr="00494D64">
        <w:rPr>
          <w:rFonts w:asciiTheme="minorHAnsi" w:hAnsiTheme="minorHAnsi" w:cstheme="minorHAnsi"/>
          <w:sz w:val="22"/>
        </w:rPr>
        <w:t>’s work as a teacher and from their induction programme during the preceding assessment period</w:t>
      </w:r>
      <w:r w:rsidR="00ED238F" w:rsidRPr="00494D64">
        <w:rPr>
          <w:rFonts w:asciiTheme="minorHAnsi" w:hAnsiTheme="minorHAnsi" w:cstheme="minorHAnsi"/>
          <w:sz w:val="22"/>
        </w:rPr>
        <w:t>, and may require input from other colleagues as appropriate.  A</w:t>
      </w:r>
      <w:r w:rsidRPr="00494D64">
        <w:rPr>
          <w:rFonts w:asciiTheme="minorHAnsi" w:hAnsiTheme="minorHAnsi" w:cstheme="minorHAnsi"/>
          <w:sz w:val="22"/>
        </w:rPr>
        <w:t>ny judgements made will rel</w:t>
      </w:r>
      <w:r w:rsidR="00ED238F" w:rsidRPr="00494D64">
        <w:rPr>
          <w:rFonts w:asciiTheme="minorHAnsi" w:hAnsiTheme="minorHAnsi" w:cstheme="minorHAnsi"/>
          <w:sz w:val="22"/>
        </w:rPr>
        <w:t xml:space="preserve">ate to the </w:t>
      </w:r>
      <w:r w:rsidR="00EC0AB2" w:rsidRPr="00494D64">
        <w:rPr>
          <w:rFonts w:asciiTheme="minorHAnsi" w:hAnsiTheme="minorHAnsi" w:cstheme="minorHAnsi"/>
          <w:sz w:val="22"/>
        </w:rPr>
        <w:t>Teachers’ Standards</w:t>
      </w:r>
      <w:r w:rsidR="00ED238F" w:rsidRPr="00494D64">
        <w:rPr>
          <w:rFonts w:asciiTheme="minorHAnsi" w:hAnsiTheme="minorHAnsi" w:cstheme="minorHAnsi"/>
          <w:sz w:val="22"/>
        </w:rPr>
        <w:t xml:space="preserve">, based on what can reasonably be expected of an </w:t>
      </w:r>
      <w:r w:rsidR="005C10FC" w:rsidRPr="00494D64">
        <w:rPr>
          <w:rFonts w:asciiTheme="minorHAnsi" w:hAnsiTheme="minorHAnsi" w:cstheme="minorHAnsi"/>
          <w:sz w:val="22"/>
        </w:rPr>
        <w:t>ECT</w:t>
      </w:r>
      <w:r w:rsidR="00ED238F" w:rsidRPr="00494D64">
        <w:rPr>
          <w:rFonts w:asciiTheme="minorHAnsi" w:hAnsiTheme="minorHAnsi" w:cstheme="minorHAnsi"/>
          <w:sz w:val="22"/>
        </w:rPr>
        <w:t xml:space="preserve"> by the end of their induction period</w:t>
      </w:r>
      <w:r w:rsidR="00CE6411" w:rsidRPr="00494D64">
        <w:rPr>
          <w:rFonts w:asciiTheme="minorHAnsi" w:hAnsiTheme="minorHAnsi" w:cstheme="minorHAnsi"/>
          <w:sz w:val="22"/>
        </w:rPr>
        <w:t>,</w:t>
      </w:r>
      <w:r w:rsidR="00ED238F" w:rsidRPr="00494D64">
        <w:rPr>
          <w:rFonts w:asciiTheme="minorHAnsi" w:hAnsiTheme="minorHAnsi" w:cstheme="minorHAnsi"/>
          <w:sz w:val="22"/>
        </w:rPr>
        <w:t xml:space="preserve"> and taking into account the work context, within that framework. </w:t>
      </w:r>
      <w:r w:rsidRPr="00494D64">
        <w:rPr>
          <w:rFonts w:asciiTheme="minorHAnsi" w:hAnsiTheme="minorHAnsi" w:cstheme="minorHAnsi"/>
          <w:sz w:val="22"/>
        </w:rPr>
        <w:t xml:space="preserve">Copies of the evidence used will be provided to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and the appropriate body.  </w:t>
      </w:r>
    </w:p>
    <w:p w14:paraId="6A73A829" w14:textId="27A4E66C"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Following this final meeting, the person carrying out the formal assessment will complete a </w:t>
      </w:r>
      <w:r w:rsidR="009E46BC" w:rsidRPr="00494D64">
        <w:rPr>
          <w:rFonts w:asciiTheme="minorHAnsi" w:hAnsiTheme="minorHAnsi" w:cstheme="minorHAnsi"/>
          <w:sz w:val="22"/>
        </w:rPr>
        <w:t>final</w:t>
      </w:r>
      <w:r w:rsidR="00F94C59" w:rsidRPr="00494D64">
        <w:rPr>
          <w:rFonts w:asciiTheme="minorHAnsi" w:hAnsiTheme="minorHAnsi" w:cstheme="minorHAnsi"/>
          <w:sz w:val="22"/>
        </w:rPr>
        <w:t xml:space="preserve"> </w:t>
      </w:r>
      <w:r w:rsidRPr="00494D64">
        <w:rPr>
          <w:rFonts w:asciiTheme="minorHAnsi" w:hAnsiTheme="minorHAnsi" w:cstheme="minorHAnsi"/>
          <w:sz w:val="22"/>
        </w:rPr>
        <w:t xml:space="preserve">assessment </w:t>
      </w:r>
      <w:r w:rsidR="00F94C59" w:rsidRPr="00494D64">
        <w:rPr>
          <w:rFonts w:asciiTheme="minorHAnsi" w:hAnsiTheme="minorHAnsi" w:cstheme="minorHAnsi"/>
          <w:sz w:val="22"/>
        </w:rPr>
        <w:t xml:space="preserve">report </w:t>
      </w:r>
      <w:r w:rsidRPr="00494D64">
        <w:rPr>
          <w:rFonts w:asciiTheme="minorHAnsi" w:hAnsiTheme="minorHAnsi" w:cstheme="minorHAnsi"/>
          <w:sz w:val="22"/>
        </w:rPr>
        <w:t xml:space="preserve">which will include a recommendation to the appropriate body as to whether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performance against the </w:t>
      </w:r>
      <w:r w:rsidR="00EC0AB2" w:rsidRPr="00494D64">
        <w:rPr>
          <w:rFonts w:asciiTheme="minorHAnsi" w:hAnsiTheme="minorHAnsi" w:cstheme="minorHAnsi"/>
          <w:sz w:val="22"/>
        </w:rPr>
        <w:t xml:space="preserve">Teachers’ Standards </w:t>
      </w:r>
      <w:r w:rsidRPr="00494D64">
        <w:rPr>
          <w:rFonts w:asciiTheme="minorHAnsi" w:hAnsiTheme="minorHAnsi" w:cstheme="minorHAnsi"/>
          <w:sz w:val="22"/>
        </w:rPr>
        <w:t xml:space="preserve">is considered satisfactory, unsatisfactory, or whether an extension should be considered.  </w:t>
      </w:r>
    </w:p>
    <w:p w14:paraId="72072FA4" w14:textId="68FA9E8D"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will have an opportunity to add their comments to the final assessment report, which will then be signed by the induction tutor, the</w:t>
      </w:r>
      <w:r w:rsidR="00D64AF3">
        <w:rPr>
          <w:rFonts w:asciiTheme="minorHAnsi" w:hAnsiTheme="minorHAnsi" w:cstheme="minorHAnsi"/>
          <w:sz w:val="22"/>
        </w:rPr>
        <w:t xml:space="preserve"> Headteacher</w:t>
      </w:r>
      <w:r w:rsidRPr="00494D64">
        <w:rPr>
          <w:rFonts w:asciiTheme="minorHAnsi" w:hAnsiTheme="minorHAnsi" w:cstheme="minorHAnsi"/>
          <w:sz w:val="22"/>
        </w:rPr>
        <w:t xml:space="preserve"> (if they are not the induction tutor) and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will be provided with the original</w:t>
      </w:r>
      <w:r w:rsidR="00EA7C9D" w:rsidRPr="00494D64">
        <w:rPr>
          <w:rFonts w:asciiTheme="minorHAnsi" w:hAnsiTheme="minorHAnsi" w:cstheme="minorHAnsi"/>
          <w:sz w:val="22"/>
        </w:rPr>
        <w:t>, which they should retain,</w:t>
      </w:r>
      <w:r w:rsidRPr="00494D64">
        <w:rPr>
          <w:rFonts w:asciiTheme="minorHAnsi" w:hAnsiTheme="minorHAnsi" w:cstheme="minorHAnsi"/>
          <w:sz w:val="22"/>
        </w:rPr>
        <w:t xml:space="preserve"> and a copy will be sent to the appropriate body within 10 working days of the final assessment meeting.</w:t>
      </w:r>
    </w:p>
    <w:p w14:paraId="18BBA55C" w14:textId="59A2F46E" w:rsidR="00615990" w:rsidRPr="00494D64"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The appropriate body will make the final decision as to whether or not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’s performance against the </w:t>
      </w:r>
      <w:r w:rsidR="00EC0AB2" w:rsidRPr="00494D64">
        <w:rPr>
          <w:rFonts w:asciiTheme="minorHAnsi" w:hAnsiTheme="minorHAnsi" w:cstheme="minorHAnsi"/>
          <w:sz w:val="22"/>
        </w:rPr>
        <w:t xml:space="preserve">Teachers’ Standards </w:t>
      </w:r>
      <w:r w:rsidRPr="00494D64">
        <w:rPr>
          <w:rFonts w:asciiTheme="minorHAnsi" w:hAnsiTheme="minorHAnsi" w:cstheme="minorHAnsi"/>
          <w:sz w:val="22"/>
        </w:rPr>
        <w:t xml:space="preserve">is satisfactory within 20 working days of receiving the </w:t>
      </w:r>
      <w:r w:rsidR="009E46BC" w:rsidRPr="00494D64">
        <w:rPr>
          <w:rFonts w:asciiTheme="minorHAnsi" w:hAnsiTheme="minorHAnsi" w:cstheme="minorHAnsi"/>
          <w:sz w:val="22"/>
        </w:rPr>
        <w:t>final</w:t>
      </w:r>
      <w:r w:rsidR="00F94C59" w:rsidRPr="00494D64">
        <w:rPr>
          <w:rFonts w:asciiTheme="minorHAnsi" w:hAnsiTheme="minorHAnsi" w:cstheme="minorHAnsi"/>
          <w:sz w:val="22"/>
        </w:rPr>
        <w:t xml:space="preserve"> </w:t>
      </w:r>
      <w:r w:rsidRPr="00494D64">
        <w:rPr>
          <w:rFonts w:asciiTheme="minorHAnsi" w:hAnsiTheme="minorHAnsi" w:cstheme="minorHAnsi"/>
          <w:sz w:val="22"/>
        </w:rPr>
        <w:t>assessment report from us, drawing on the recommendation of the</w:t>
      </w:r>
      <w:r w:rsidR="00D64AF3">
        <w:rPr>
          <w:rFonts w:asciiTheme="minorHAnsi" w:hAnsiTheme="minorHAnsi" w:cstheme="minorHAnsi"/>
          <w:sz w:val="22"/>
        </w:rPr>
        <w:t xml:space="preserve"> Headteacher</w:t>
      </w:r>
      <w:r w:rsidRPr="00494D64">
        <w:rPr>
          <w:rFonts w:asciiTheme="minorHAnsi" w:hAnsiTheme="minorHAnsi" w:cstheme="minorHAnsi"/>
          <w:sz w:val="22"/>
        </w:rPr>
        <w:t xml:space="preserve"> made in the </w:t>
      </w:r>
      <w:r w:rsidR="00F94C59" w:rsidRPr="00494D64">
        <w:rPr>
          <w:rFonts w:asciiTheme="minorHAnsi" w:hAnsiTheme="minorHAnsi" w:cstheme="minorHAnsi"/>
          <w:sz w:val="22"/>
        </w:rPr>
        <w:t xml:space="preserve">formal </w:t>
      </w:r>
      <w:r w:rsidRPr="00494D64">
        <w:rPr>
          <w:rFonts w:asciiTheme="minorHAnsi" w:hAnsiTheme="minorHAnsi" w:cstheme="minorHAnsi"/>
          <w:sz w:val="22"/>
        </w:rPr>
        <w:t>assessment report and all available evidence.  They wi</w:t>
      </w:r>
      <w:r w:rsidR="00FC6BBC" w:rsidRPr="00494D64">
        <w:rPr>
          <w:rFonts w:asciiTheme="minorHAnsi" w:hAnsiTheme="minorHAnsi" w:cstheme="minorHAnsi"/>
          <w:sz w:val="22"/>
        </w:rPr>
        <w:t xml:space="preserve">ll then notify the </w:t>
      </w:r>
      <w:r w:rsidR="005C10FC" w:rsidRPr="00494D64">
        <w:rPr>
          <w:rFonts w:asciiTheme="minorHAnsi" w:hAnsiTheme="minorHAnsi" w:cstheme="minorHAnsi"/>
          <w:sz w:val="22"/>
        </w:rPr>
        <w:t>ECT</w:t>
      </w:r>
      <w:r w:rsidR="00FC6BBC" w:rsidRPr="00494D64">
        <w:rPr>
          <w:rFonts w:asciiTheme="minorHAnsi" w:hAnsiTheme="minorHAnsi" w:cstheme="minorHAnsi"/>
          <w:sz w:val="22"/>
        </w:rPr>
        <w:t xml:space="preserve"> and us </w:t>
      </w:r>
      <w:r w:rsidRPr="00494D64">
        <w:rPr>
          <w:rFonts w:asciiTheme="minorHAnsi" w:hAnsiTheme="minorHAnsi" w:cstheme="minorHAnsi"/>
          <w:sz w:val="22"/>
        </w:rPr>
        <w:t xml:space="preserve">of the decision in writing, within three working days of making the decision.  The decision will either be that the </w:t>
      </w:r>
      <w:r w:rsidR="005C10FC" w:rsidRPr="00494D64">
        <w:rPr>
          <w:rFonts w:asciiTheme="minorHAnsi" w:hAnsiTheme="minorHAnsi" w:cstheme="minorHAnsi"/>
          <w:sz w:val="22"/>
        </w:rPr>
        <w:t>ECT</w:t>
      </w:r>
      <w:r w:rsidRPr="00494D64">
        <w:rPr>
          <w:rFonts w:asciiTheme="minorHAnsi" w:hAnsiTheme="minorHAnsi" w:cstheme="minorHAnsi"/>
          <w:sz w:val="22"/>
        </w:rPr>
        <w:t>:</w:t>
      </w:r>
    </w:p>
    <w:p w14:paraId="71C37AC8" w14:textId="70A48796" w:rsidR="00615990" w:rsidRPr="00494D64" w:rsidRDefault="00615990" w:rsidP="00494D64">
      <w:pPr>
        <w:pStyle w:val="HeadingLevel2"/>
        <w:numPr>
          <w:ilvl w:val="0"/>
          <w:numId w:val="5"/>
        </w:numPr>
        <w:spacing w:after="0"/>
        <w:rPr>
          <w:rFonts w:asciiTheme="minorHAnsi" w:hAnsiTheme="minorHAnsi" w:cstheme="minorHAnsi"/>
          <w:sz w:val="22"/>
        </w:rPr>
      </w:pPr>
      <w:r w:rsidRPr="00494D64">
        <w:rPr>
          <w:rFonts w:asciiTheme="minorHAnsi" w:hAnsiTheme="minorHAnsi" w:cstheme="minorHAnsi"/>
          <w:sz w:val="22"/>
        </w:rPr>
        <w:t xml:space="preserve">Has performed satisfactorily against the </w:t>
      </w:r>
      <w:r w:rsidR="00F94C59" w:rsidRPr="00494D64">
        <w:rPr>
          <w:rFonts w:asciiTheme="minorHAnsi" w:hAnsiTheme="minorHAnsi" w:cstheme="minorHAnsi"/>
          <w:sz w:val="22"/>
        </w:rPr>
        <w:t>Teachers’ Standards</w:t>
      </w:r>
      <w:r w:rsidRPr="00494D64">
        <w:rPr>
          <w:rFonts w:asciiTheme="minorHAnsi" w:hAnsiTheme="minorHAnsi" w:cstheme="minorHAnsi"/>
          <w:sz w:val="22"/>
        </w:rPr>
        <w:t xml:space="preserve"> and so has completed their induction period; or</w:t>
      </w:r>
    </w:p>
    <w:p w14:paraId="734A4BFB" w14:textId="7C5DD898" w:rsidR="00615990" w:rsidRPr="00494D64" w:rsidRDefault="00615990" w:rsidP="00494D64">
      <w:pPr>
        <w:pStyle w:val="HeadingLevel2"/>
        <w:numPr>
          <w:ilvl w:val="0"/>
          <w:numId w:val="5"/>
        </w:numPr>
        <w:spacing w:after="0"/>
        <w:rPr>
          <w:rFonts w:asciiTheme="minorHAnsi" w:hAnsiTheme="minorHAnsi" w:cstheme="minorHAnsi"/>
          <w:sz w:val="22"/>
        </w:rPr>
      </w:pPr>
      <w:r w:rsidRPr="00494D64">
        <w:rPr>
          <w:rFonts w:asciiTheme="minorHAnsi" w:hAnsiTheme="minorHAnsi" w:cstheme="minorHAnsi"/>
          <w:sz w:val="22"/>
        </w:rPr>
        <w:lastRenderedPageBreak/>
        <w:t>Requires an extension of the induction period; or</w:t>
      </w:r>
    </w:p>
    <w:p w14:paraId="0451C9CF" w14:textId="77777777" w:rsidR="00615990" w:rsidRPr="00494D64" w:rsidRDefault="00615990" w:rsidP="00494D64">
      <w:pPr>
        <w:pStyle w:val="HeadingLevel2"/>
        <w:numPr>
          <w:ilvl w:val="0"/>
          <w:numId w:val="5"/>
        </w:numPr>
        <w:spacing w:after="0"/>
        <w:rPr>
          <w:rFonts w:asciiTheme="minorHAnsi" w:hAnsiTheme="minorHAnsi" w:cstheme="minorHAnsi"/>
          <w:sz w:val="22"/>
        </w:rPr>
      </w:pPr>
      <w:r w:rsidRPr="00494D64">
        <w:rPr>
          <w:rFonts w:asciiTheme="minorHAnsi" w:hAnsiTheme="minorHAnsi" w:cstheme="minorHAnsi"/>
          <w:sz w:val="22"/>
        </w:rPr>
        <w:t xml:space="preserve">Has failed to satisfactorily complete the induction period. </w:t>
      </w:r>
    </w:p>
    <w:p w14:paraId="50B7B3C9" w14:textId="4CB5FDBD" w:rsidR="00615990"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If the decision is </w:t>
      </w:r>
      <w:r w:rsidR="00E801F6" w:rsidRPr="00494D64">
        <w:rPr>
          <w:rFonts w:asciiTheme="minorHAnsi" w:hAnsiTheme="minorHAnsi" w:cstheme="minorHAnsi"/>
          <w:sz w:val="22"/>
        </w:rPr>
        <w:t xml:space="preserve">to extend the period of induction or that the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has failed their induction period</w:t>
      </w:r>
      <w:r w:rsidR="00ED238F" w:rsidRPr="00494D64">
        <w:rPr>
          <w:rFonts w:asciiTheme="minorHAnsi" w:hAnsiTheme="minorHAnsi" w:cstheme="minorHAnsi"/>
          <w:sz w:val="22"/>
        </w:rPr>
        <w:t>,</w:t>
      </w:r>
      <w:r w:rsidRPr="00494D64">
        <w:rPr>
          <w:rFonts w:asciiTheme="minorHAnsi" w:hAnsiTheme="minorHAnsi" w:cstheme="minorHAnsi"/>
          <w:sz w:val="22"/>
        </w:rPr>
        <w:t xml:space="preserve"> the appropriate body will also notify the </w:t>
      </w:r>
      <w:r w:rsidR="00F94C59" w:rsidRPr="00494D64">
        <w:rPr>
          <w:rFonts w:asciiTheme="minorHAnsi" w:hAnsiTheme="minorHAnsi" w:cstheme="minorHAnsi"/>
          <w:sz w:val="22"/>
        </w:rPr>
        <w:t>Teaching Regulation Agency (</w:t>
      </w:r>
      <w:r w:rsidRPr="00494D64">
        <w:rPr>
          <w:rFonts w:asciiTheme="minorHAnsi" w:hAnsiTheme="minorHAnsi" w:cstheme="minorHAnsi"/>
          <w:sz w:val="22"/>
        </w:rPr>
        <w:t>TRA</w:t>
      </w:r>
      <w:r w:rsidR="00F94C59" w:rsidRPr="00494D64">
        <w:rPr>
          <w:rFonts w:asciiTheme="minorHAnsi" w:hAnsiTheme="minorHAnsi" w:cstheme="minorHAnsi"/>
          <w:sz w:val="22"/>
        </w:rPr>
        <w:t>)</w:t>
      </w:r>
      <w:r w:rsidRPr="00494D64">
        <w:rPr>
          <w:rFonts w:asciiTheme="minorHAnsi" w:hAnsiTheme="minorHAnsi" w:cstheme="minorHAnsi"/>
          <w:sz w:val="22"/>
        </w:rPr>
        <w:t xml:space="preserve"> within three working days.  </w:t>
      </w:r>
    </w:p>
    <w:p w14:paraId="7CD408FC" w14:textId="77777777" w:rsidR="00D64AF3" w:rsidRPr="00494D64" w:rsidRDefault="00D64AF3" w:rsidP="00D64AF3">
      <w:pPr>
        <w:pStyle w:val="HeadingLevel2"/>
        <w:numPr>
          <w:ilvl w:val="0"/>
          <w:numId w:val="0"/>
        </w:numPr>
        <w:spacing w:after="0"/>
        <w:ind w:left="720"/>
        <w:rPr>
          <w:rFonts w:asciiTheme="minorHAnsi" w:hAnsiTheme="minorHAnsi" w:cstheme="minorHAnsi"/>
          <w:sz w:val="22"/>
        </w:rPr>
      </w:pPr>
    </w:p>
    <w:p w14:paraId="3278F897" w14:textId="4DFD00A9" w:rsidR="00615990" w:rsidRPr="00494D64" w:rsidRDefault="00D32ACA" w:rsidP="00494D64">
      <w:pPr>
        <w:pStyle w:val="HeadingLevel1"/>
        <w:spacing w:before="0" w:after="0"/>
        <w:rPr>
          <w:rFonts w:asciiTheme="minorHAnsi" w:hAnsiTheme="minorHAnsi" w:cstheme="minorHAnsi"/>
          <w:sz w:val="22"/>
        </w:rPr>
      </w:pPr>
      <w:r w:rsidRPr="00494D64">
        <w:rPr>
          <w:rFonts w:asciiTheme="minorHAnsi" w:hAnsiTheme="minorHAnsi" w:cstheme="minorHAnsi"/>
          <w:sz w:val="22"/>
        </w:rPr>
        <w:t xml:space="preserve"> </w:t>
      </w:r>
      <w:bookmarkStart w:id="19" w:name="_Toc109387309"/>
      <w:r w:rsidR="00301E3F" w:rsidRPr="00494D64">
        <w:rPr>
          <w:rFonts w:asciiTheme="minorHAnsi" w:hAnsiTheme="minorHAnsi" w:cstheme="minorHAnsi"/>
          <w:sz w:val="22"/>
        </w:rPr>
        <w:t>Right of appeal to the Appeals Body</w:t>
      </w:r>
      <w:bookmarkEnd w:id="19"/>
    </w:p>
    <w:p w14:paraId="65E59923" w14:textId="73D11DA9" w:rsidR="00615990" w:rsidRDefault="00615990" w:rsidP="00494D64">
      <w:pPr>
        <w:pStyle w:val="HeadingLevel2"/>
        <w:spacing w:after="0"/>
        <w:rPr>
          <w:rFonts w:asciiTheme="minorHAnsi" w:hAnsiTheme="minorHAnsi" w:cstheme="minorHAnsi"/>
          <w:sz w:val="22"/>
        </w:rPr>
      </w:pPr>
      <w:r w:rsidRPr="00494D64">
        <w:rPr>
          <w:rFonts w:asciiTheme="minorHAnsi" w:hAnsiTheme="minorHAnsi" w:cstheme="minorHAnsi"/>
          <w:sz w:val="22"/>
        </w:rPr>
        <w:t>If the</w:t>
      </w:r>
      <w:r w:rsidR="00E801F6" w:rsidRPr="00494D64">
        <w:rPr>
          <w:rFonts w:asciiTheme="minorHAnsi" w:hAnsiTheme="minorHAnsi" w:cstheme="minorHAnsi"/>
          <w:sz w:val="22"/>
        </w:rPr>
        <w:t xml:space="preserve"> appropriate body extends the induction period or decides that the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has failed to satisfactorily complete the induction period, </w:t>
      </w:r>
      <w:r w:rsidRPr="00494D64">
        <w:rPr>
          <w:rFonts w:asciiTheme="minorHAnsi" w:hAnsiTheme="minorHAnsi" w:cstheme="minorHAnsi"/>
          <w:sz w:val="22"/>
        </w:rPr>
        <w:t xml:space="preserve">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has the right of appeal</w:t>
      </w:r>
      <w:r w:rsidR="00E801F6" w:rsidRPr="00494D64">
        <w:rPr>
          <w:rFonts w:asciiTheme="minorHAnsi" w:hAnsiTheme="minorHAnsi" w:cstheme="minorHAnsi"/>
          <w:sz w:val="22"/>
        </w:rPr>
        <w:t xml:space="preserve"> against that decision within 20 working days of the decision to the Appeals Body, which is the </w:t>
      </w:r>
      <w:r w:rsidR="00F94C59" w:rsidRPr="00494D64">
        <w:rPr>
          <w:rFonts w:asciiTheme="minorHAnsi" w:hAnsiTheme="minorHAnsi" w:cstheme="minorHAnsi"/>
          <w:sz w:val="22"/>
        </w:rPr>
        <w:t>TRA</w:t>
      </w:r>
      <w:r w:rsidR="00E801F6" w:rsidRPr="00494D64">
        <w:rPr>
          <w:rFonts w:asciiTheme="minorHAnsi" w:hAnsiTheme="minorHAnsi" w:cstheme="minorHAnsi"/>
          <w:sz w:val="22"/>
        </w:rPr>
        <w:t xml:space="preserve">.  The appropriate body will inform the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of their right of appeal and how to exercise that right.</w:t>
      </w:r>
      <w:r w:rsidRPr="00494D64">
        <w:rPr>
          <w:rFonts w:asciiTheme="minorHAnsi" w:hAnsiTheme="minorHAnsi" w:cstheme="minorHAnsi"/>
          <w:sz w:val="22"/>
        </w:rPr>
        <w:t xml:space="preserve"> </w:t>
      </w:r>
    </w:p>
    <w:p w14:paraId="386BC332" w14:textId="77777777" w:rsidR="00D64AF3" w:rsidRPr="00494D64" w:rsidRDefault="00D64AF3" w:rsidP="00D64AF3">
      <w:pPr>
        <w:pStyle w:val="HeadingLevel2"/>
        <w:numPr>
          <w:ilvl w:val="0"/>
          <w:numId w:val="0"/>
        </w:numPr>
        <w:spacing w:after="0"/>
        <w:ind w:left="720"/>
        <w:rPr>
          <w:rFonts w:asciiTheme="minorHAnsi" w:hAnsiTheme="minorHAnsi" w:cstheme="minorHAnsi"/>
          <w:sz w:val="22"/>
        </w:rPr>
      </w:pPr>
    </w:p>
    <w:p w14:paraId="3430BD37" w14:textId="77777777" w:rsidR="00700F71" w:rsidRPr="00494D64" w:rsidRDefault="00700F71" w:rsidP="00494D64">
      <w:pPr>
        <w:pStyle w:val="HeadingLevel1"/>
        <w:spacing w:before="0" w:after="0"/>
        <w:rPr>
          <w:rFonts w:asciiTheme="minorHAnsi" w:hAnsiTheme="minorHAnsi" w:cstheme="minorHAnsi"/>
          <w:sz w:val="22"/>
        </w:rPr>
      </w:pPr>
      <w:bookmarkStart w:id="20" w:name="_Toc109387310"/>
      <w:r w:rsidRPr="00494D64">
        <w:rPr>
          <w:rFonts w:asciiTheme="minorHAnsi" w:hAnsiTheme="minorHAnsi" w:cstheme="minorHAnsi"/>
          <w:sz w:val="22"/>
        </w:rPr>
        <w:t>Failure to complete induction and dismissal</w:t>
      </w:r>
      <w:bookmarkEnd w:id="20"/>
    </w:p>
    <w:p w14:paraId="4CD7B73A" w14:textId="22F6E993" w:rsidR="00E801F6" w:rsidRPr="00494D64" w:rsidRDefault="00E801F6"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Failure to complete the induction period satisfactorily means that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w:t>
      </w:r>
      <w:r w:rsidR="00424C25" w:rsidRPr="00494D64">
        <w:rPr>
          <w:rFonts w:asciiTheme="minorHAnsi" w:hAnsiTheme="minorHAnsi" w:cstheme="minorHAnsi"/>
          <w:sz w:val="22"/>
        </w:rPr>
        <w:t xml:space="preserve">no </w:t>
      </w:r>
      <w:r w:rsidRPr="00494D64">
        <w:rPr>
          <w:rFonts w:asciiTheme="minorHAnsi" w:hAnsiTheme="minorHAnsi" w:cstheme="minorHAnsi"/>
          <w:sz w:val="22"/>
        </w:rPr>
        <w:t xml:space="preserve">longer eligible to be employed as a teacher in a relevant school, which includes maintained schools and non-maintained special schools.  </w:t>
      </w:r>
    </w:p>
    <w:p w14:paraId="0A9D1A85" w14:textId="72081E50" w:rsidR="00E801F6" w:rsidRPr="00494D64" w:rsidRDefault="00721CA1"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As </w:t>
      </w:r>
      <w:r w:rsidR="0023188F">
        <w:rPr>
          <w:rFonts w:asciiTheme="minorHAnsi" w:hAnsiTheme="minorHAnsi" w:cstheme="minorHAnsi"/>
          <w:sz w:val="22"/>
        </w:rPr>
        <w:t>a Trust</w:t>
      </w:r>
      <w:r w:rsidR="00E801F6" w:rsidRPr="00494D64">
        <w:rPr>
          <w:rFonts w:asciiTheme="minorHAnsi" w:hAnsiTheme="minorHAnsi" w:cstheme="minorHAnsi"/>
          <w:sz w:val="22"/>
        </w:rPr>
        <w:t xml:space="preserve">, we have decided to follow the principle of the Regulations </w:t>
      </w:r>
      <w:r w:rsidR="00ED238F" w:rsidRPr="00494D64">
        <w:rPr>
          <w:rFonts w:asciiTheme="minorHAnsi" w:hAnsiTheme="minorHAnsi" w:cstheme="minorHAnsi"/>
          <w:sz w:val="22"/>
        </w:rPr>
        <w:t xml:space="preserve">in relation to an </w:t>
      </w:r>
      <w:r w:rsidR="005C10FC" w:rsidRPr="00494D64">
        <w:rPr>
          <w:rFonts w:asciiTheme="minorHAnsi" w:hAnsiTheme="minorHAnsi" w:cstheme="minorHAnsi"/>
          <w:sz w:val="22"/>
        </w:rPr>
        <w:t>ECT</w:t>
      </w:r>
      <w:r w:rsidR="00ED238F" w:rsidRPr="00494D64">
        <w:rPr>
          <w:rFonts w:asciiTheme="minorHAnsi" w:hAnsiTheme="minorHAnsi" w:cstheme="minorHAnsi"/>
          <w:sz w:val="22"/>
        </w:rPr>
        <w:t xml:space="preserve"> who has</w:t>
      </w:r>
      <w:r w:rsidR="00E801F6" w:rsidRPr="00494D64">
        <w:rPr>
          <w:rFonts w:asciiTheme="minorHAnsi" w:hAnsiTheme="minorHAnsi" w:cstheme="minorHAnsi"/>
          <w:sz w:val="22"/>
        </w:rPr>
        <w:t xml:space="preserve"> failed induction working in a relevant school,</w:t>
      </w:r>
      <w:r w:rsidR="00044FDF" w:rsidRPr="00494D64">
        <w:rPr>
          <w:rFonts w:asciiTheme="minorHAnsi" w:hAnsiTheme="minorHAnsi" w:cstheme="minorHAnsi"/>
          <w:sz w:val="22"/>
        </w:rPr>
        <w:t xml:space="preserve"> </w:t>
      </w:r>
      <w:r w:rsidR="00E801F6" w:rsidRPr="00494D64">
        <w:rPr>
          <w:rFonts w:asciiTheme="minorHAnsi" w:hAnsiTheme="minorHAnsi" w:cstheme="minorHAnsi"/>
          <w:sz w:val="22"/>
        </w:rPr>
        <w:t xml:space="preserve">and apply them to our </w:t>
      </w:r>
      <w:r w:rsidR="0023188F">
        <w:rPr>
          <w:rFonts w:asciiTheme="minorHAnsi" w:hAnsiTheme="minorHAnsi" w:cstheme="minorHAnsi"/>
          <w:sz w:val="22"/>
        </w:rPr>
        <w:t>Trust</w:t>
      </w:r>
      <w:r w:rsidR="00E801F6" w:rsidRPr="00494D64">
        <w:rPr>
          <w:rFonts w:asciiTheme="minorHAnsi" w:hAnsiTheme="minorHAnsi" w:cstheme="minorHAnsi"/>
          <w:sz w:val="22"/>
        </w:rPr>
        <w:t>.  Therefore, we will</w:t>
      </w:r>
      <w:r w:rsidR="003159D3" w:rsidRPr="00494D64">
        <w:rPr>
          <w:rFonts w:asciiTheme="minorHAnsi" w:hAnsiTheme="minorHAnsi" w:cstheme="minorHAnsi"/>
          <w:sz w:val="22"/>
        </w:rPr>
        <w:t xml:space="preserve"> normally</w:t>
      </w:r>
      <w:r w:rsidR="00E801F6" w:rsidRPr="00494D64">
        <w:rPr>
          <w:rFonts w:asciiTheme="minorHAnsi" w:hAnsiTheme="minorHAnsi" w:cstheme="minorHAnsi"/>
          <w:sz w:val="22"/>
        </w:rPr>
        <w:t xml:space="preserve"> dismiss an </w:t>
      </w:r>
      <w:r w:rsidR="005C10FC" w:rsidRPr="00494D64">
        <w:rPr>
          <w:rFonts w:asciiTheme="minorHAnsi" w:hAnsiTheme="minorHAnsi" w:cstheme="minorHAnsi"/>
          <w:sz w:val="22"/>
        </w:rPr>
        <w:t>ECT</w:t>
      </w:r>
      <w:r w:rsidR="00E801F6" w:rsidRPr="00494D64">
        <w:rPr>
          <w:rFonts w:asciiTheme="minorHAnsi" w:hAnsiTheme="minorHAnsi" w:cstheme="minorHAnsi"/>
          <w:sz w:val="22"/>
        </w:rPr>
        <w:t xml:space="preserve"> who has failed induction:</w:t>
      </w:r>
    </w:p>
    <w:p w14:paraId="480F09C0" w14:textId="55E5B4B2" w:rsidR="00E801F6" w:rsidRPr="00494D64" w:rsidRDefault="00E801F6"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Within 10 working days of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giving notice that they do not intend to exercise their right to appeal; or</w:t>
      </w:r>
    </w:p>
    <w:p w14:paraId="03F5F5C0" w14:textId="77777777" w:rsidR="00E801F6" w:rsidRPr="00494D64" w:rsidRDefault="00E801F6" w:rsidP="00494D64">
      <w:pPr>
        <w:pStyle w:val="HeadingLevel3"/>
        <w:spacing w:after="0"/>
        <w:rPr>
          <w:rFonts w:asciiTheme="minorHAnsi" w:hAnsiTheme="minorHAnsi" w:cstheme="minorHAnsi"/>
          <w:sz w:val="22"/>
        </w:rPr>
      </w:pPr>
      <w:r w:rsidRPr="00494D64">
        <w:rPr>
          <w:rFonts w:asciiTheme="minorHAnsi" w:hAnsiTheme="minorHAnsi" w:cstheme="minorHAnsi"/>
          <w:sz w:val="22"/>
        </w:rPr>
        <w:t>Within 10 working days from when the time limit for making an appeal expires, without an appeal being brought; or</w:t>
      </w:r>
    </w:p>
    <w:p w14:paraId="0DE188EA" w14:textId="133C8A1F" w:rsidR="00E801F6" w:rsidRDefault="00E801F6"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Within 10 working days of being told the outcome of an appeal where an appeal is </w:t>
      </w:r>
      <w:r w:rsidR="00221AB3" w:rsidRPr="00494D64">
        <w:rPr>
          <w:rFonts w:asciiTheme="minorHAnsi" w:hAnsiTheme="minorHAnsi" w:cstheme="minorHAnsi"/>
          <w:sz w:val="22"/>
        </w:rPr>
        <w:t>heard</w:t>
      </w:r>
      <w:r w:rsidRPr="00494D64">
        <w:rPr>
          <w:rFonts w:asciiTheme="minorHAnsi" w:hAnsiTheme="minorHAnsi" w:cstheme="minorHAnsi"/>
          <w:sz w:val="22"/>
        </w:rPr>
        <w:t xml:space="preserve"> and the outcome of the appeal is that the </w:t>
      </w:r>
      <w:r w:rsidR="005C10FC" w:rsidRPr="00494D64">
        <w:rPr>
          <w:rFonts w:asciiTheme="minorHAnsi" w:hAnsiTheme="minorHAnsi" w:cstheme="minorHAnsi"/>
          <w:sz w:val="22"/>
        </w:rPr>
        <w:t>ECT</w:t>
      </w:r>
      <w:r w:rsidRPr="00494D64">
        <w:rPr>
          <w:rFonts w:asciiTheme="minorHAnsi" w:hAnsiTheme="minorHAnsi" w:cstheme="minorHAnsi"/>
          <w:sz w:val="22"/>
        </w:rPr>
        <w:t xml:space="preserve"> is judged as having failed induction.</w:t>
      </w:r>
    </w:p>
    <w:p w14:paraId="148B8A1A" w14:textId="77777777" w:rsidR="0023188F" w:rsidRPr="00494D64" w:rsidRDefault="0023188F" w:rsidP="0023188F">
      <w:pPr>
        <w:pStyle w:val="HeadingLevel3"/>
        <w:numPr>
          <w:ilvl w:val="0"/>
          <w:numId w:val="0"/>
        </w:numPr>
        <w:spacing w:after="0"/>
        <w:ind w:left="1584"/>
        <w:rPr>
          <w:rFonts w:asciiTheme="minorHAnsi" w:hAnsiTheme="minorHAnsi" w:cstheme="minorHAnsi"/>
          <w:sz w:val="22"/>
        </w:rPr>
      </w:pPr>
    </w:p>
    <w:p w14:paraId="204E3B66" w14:textId="77777777" w:rsidR="00DE17D2" w:rsidRPr="00494D64" w:rsidRDefault="00DE17D2" w:rsidP="00494D64">
      <w:pPr>
        <w:pStyle w:val="HeadingLevel1"/>
        <w:spacing w:before="0" w:after="0"/>
        <w:rPr>
          <w:rFonts w:asciiTheme="minorHAnsi" w:hAnsiTheme="minorHAnsi" w:cstheme="minorHAnsi"/>
          <w:sz w:val="22"/>
        </w:rPr>
      </w:pPr>
      <w:bookmarkStart w:id="21" w:name="_Toc109387311"/>
      <w:r w:rsidRPr="00494D64">
        <w:rPr>
          <w:rFonts w:asciiTheme="minorHAnsi" w:hAnsiTheme="minorHAnsi" w:cstheme="minorHAnsi"/>
          <w:sz w:val="22"/>
        </w:rPr>
        <w:t>General Principles Underlying This policy</w:t>
      </w:r>
      <w:bookmarkEnd w:id="21"/>
      <w:r w:rsidRPr="00494D64">
        <w:rPr>
          <w:rFonts w:asciiTheme="minorHAnsi" w:hAnsiTheme="minorHAnsi" w:cstheme="minorHAnsi"/>
          <w:sz w:val="22"/>
        </w:rPr>
        <w:t xml:space="preserve"> </w:t>
      </w:r>
    </w:p>
    <w:p w14:paraId="744968FB" w14:textId="77777777" w:rsidR="00DE17D2" w:rsidRPr="00494D64" w:rsidRDefault="00DE17D2"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Confidentiality </w:t>
      </w:r>
    </w:p>
    <w:p w14:paraId="3F4D567A" w14:textId="05E30C50" w:rsidR="00DE17D2" w:rsidRPr="00494D64" w:rsidRDefault="00DE17D2" w:rsidP="00494D64">
      <w:pPr>
        <w:pStyle w:val="HeadingLevel3"/>
        <w:spacing w:after="0"/>
        <w:rPr>
          <w:rFonts w:asciiTheme="minorHAnsi" w:hAnsiTheme="minorHAnsi" w:cstheme="minorHAnsi"/>
          <w:sz w:val="22"/>
        </w:rPr>
      </w:pPr>
      <w:r w:rsidRPr="00494D64">
        <w:rPr>
          <w:rFonts w:asciiTheme="minorHAnsi" w:hAnsiTheme="minorHAnsi" w:cstheme="minorHAnsi"/>
          <w:sz w:val="22"/>
        </w:rPr>
        <w:t xml:space="preserve">The induction process will be treated confidentially and we will ensure that arrangements are in place to facilitate this, including the secure transfer of data between us and the appropriate body.  Information relating to an </w:t>
      </w:r>
      <w:r w:rsidR="005C10FC" w:rsidRPr="00494D64">
        <w:rPr>
          <w:rFonts w:asciiTheme="minorHAnsi" w:hAnsiTheme="minorHAnsi" w:cstheme="minorHAnsi"/>
          <w:sz w:val="22"/>
        </w:rPr>
        <w:t>ECT</w:t>
      </w:r>
      <w:r w:rsidRPr="00494D64">
        <w:rPr>
          <w:rFonts w:asciiTheme="minorHAnsi" w:hAnsiTheme="minorHAnsi" w:cstheme="minorHAnsi"/>
          <w:sz w:val="22"/>
        </w:rPr>
        <w:t xml:space="preserve">’s induction process will only be shared with those directly involved in the induction process, and the </w:t>
      </w:r>
      <w:r w:rsidR="0023188F">
        <w:rPr>
          <w:rFonts w:asciiTheme="minorHAnsi" w:hAnsiTheme="minorHAnsi" w:cstheme="minorHAnsi"/>
          <w:sz w:val="22"/>
        </w:rPr>
        <w:t>Trust Board</w:t>
      </w:r>
      <w:r w:rsidRPr="00494D64">
        <w:rPr>
          <w:rFonts w:asciiTheme="minorHAnsi" w:hAnsiTheme="minorHAnsi" w:cstheme="minorHAnsi"/>
          <w:sz w:val="22"/>
        </w:rPr>
        <w:t xml:space="preserve"> on request for a general report on progress, on a termly basis.</w:t>
      </w:r>
    </w:p>
    <w:p w14:paraId="14FB5260" w14:textId="77777777" w:rsidR="00DE17D2" w:rsidRPr="00494D64" w:rsidRDefault="00DE17D2" w:rsidP="00494D64">
      <w:pPr>
        <w:pStyle w:val="HeadingLevel2"/>
        <w:spacing w:after="0"/>
        <w:rPr>
          <w:rFonts w:asciiTheme="minorHAnsi" w:hAnsiTheme="minorHAnsi" w:cstheme="minorHAnsi"/>
          <w:sz w:val="22"/>
        </w:rPr>
      </w:pPr>
      <w:r w:rsidRPr="00494D64">
        <w:rPr>
          <w:rFonts w:asciiTheme="minorHAnsi" w:hAnsiTheme="minorHAnsi" w:cstheme="minorHAnsi"/>
          <w:sz w:val="22"/>
        </w:rPr>
        <w:t xml:space="preserve">Consistency of Treatment and Fairness </w:t>
      </w:r>
    </w:p>
    <w:p w14:paraId="0893EE5E" w14:textId="5275C64B" w:rsidR="00DE17D2" w:rsidRPr="00494D64" w:rsidRDefault="0023188F" w:rsidP="00494D64">
      <w:pPr>
        <w:pStyle w:val="HeadingLevel3"/>
        <w:spacing w:after="0"/>
        <w:rPr>
          <w:rFonts w:asciiTheme="minorHAnsi" w:hAnsiTheme="minorHAnsi" w:cstheme="minorHAnsi"/>
          <w:sz w:val="22"/>
        </w:rPr>
      </w:pPr>
      <w:r>
        <w:rPr>
          <w:rFonts w:asciiTheme="minorHAnsi" w:hAnsiTheme="minorHAnsi" w:cstheme="minorHAnsi"/>
          <w:sz w:val="22"/>
        </w:rPr>
        <w:t xml:space="preserve">The Trust </w:t>
      </w:r>
      <w:r w:rsidR="00DE17D2" w:rsidRPr="00494D64">
        <w:rPr>
          <w:rFonts w:asciiTheme="minorHAnsi" w:hAnsiTheme="minorHAnsi" w:cstheme="minorHAnsi"/>
          <w:sz w:val="22"/>
        </w:rPr>
        <w:t xml:space="preserve">are committed to ensuring consistency of treatment and fairness. It will abide by all relevant equality legislation, including the duty to make reasonable adjustments for disabled employees. The </w:t>
      </w:r>
      <w:r w:rsidR="00721CA1" w:rsidRPr="00494D64">
        <w:rPr>
          <w:rFonts w:asciiTheme="minorHAnsi" w:hAnsiTheme="minorHAnsi" w:cstheme="minorHAnsi"/>
          <w:sz w:val="22"/>
        </w:rPr>
        <w:t>Academy Trust</w:t>
      </w:r>
      <w:r w:rsidR="00DE17D2" w:rsidRPr="00494D64">
        <w:rPr>
          <w:rFonts w:asciiTheme="minorHAnsi" w:hAnsiTheme="minorHAnsi" w:cstheme="minorHAnsi"/>
          <w:sz w:val="22"/>
        </w:rPr>
        <w:t xml:space="preserve"> is aware of the guidance on the Equality Act 2010 issued by the Department for Education.  </w:t>
      </w:r>
    </w:p>
    <w:p w14:paraId="2E2C362F" w14:textId="77777777" w:rsidR="00DE17D2" w:rsidRPr="00494D64" w:rsidRDefault="00DE17D2" w:rsidP="00494D64">
      <w:pPr>
        <w:pStyle w:val="HeadingLevel2"/>
        <w:spacing w:after="0"/>
        <w:rPr>
          <w:rFonts w:asciiTheme="minorHAnsi" w:hAnsiTheme="minorHAnsi" w:cstheme="minorHAnsi"/>
          <w:sz w:val="22"/>
        </w:rPr>
      </w:pPr>
      <w:r w:rsidRPr="00494D64">
        <w:rPr>
          <w:rFonts w:asciiTheme="minorHAnsi" w:hAnsiTheme="minorHAnsi" w:cstheme="minorHAnsi"/>
          <w:sz w:val="22"/>
        </w:rPr>
        <w:t>Retention and data protection</w:t>
      </w:r>
    </w:p>
    <w:p w14:paraId="20100041" w14:textId="550EB9F3" w:rsidR="00043C09" w:rsidRPr="00EC7CB4" w:rsidRDefault="00721CA1" w:rsidP="00EC7CB4">
      <w:pPr>
        <w:pStyle w:val="HeadingLevel3"/>
        <w:numPr>
          <w:ilvl w:val="0"/>
          <w:numId w:val="0"/>
        </w:numPr>
        <w:spacing w:after="0"/>
        <w:ind w:left="720"/>
        <w:rPr>
          <w:rFonts w:asciiTheme="minorHAnsi" w:hAnsiTheme="minorHAnsi" w:cstheme="minorHAnsi"/>
          <w:sz w:val="22"/>
        </w:rPr>
      </w:pPr>
      <w:r w:rsidRPr="00494D64">
        <w:rPr>
          <w:rFonts w:asciiTheme="minorHAnsi" w:hAnsiTheme="minorHAnsi" w:cstheme="minorHAnsi"/>
          <w:sz w:val="22"/>
        </w:rPr>
        <w:t>The</w:t>
      </w:r>
      <w:r w:rsidR="0023188F">
        <w:rPr>
          <w:rFonts w:asciiTheme="minorHAnsi" w:hAnsiTheme="minorHAnsi" w:cstheme="minorHAnsi"/>
          <w:sz w:val="22"/>
        </w:rPr>
        <w:t xml:space="preserve"> Trust Board and Headteachers</w:t>
      </w:r>
      <w:r w:rsidR="00DE17D2" w:rsidRPr="00494D64">
        <w:rPr>
          <w:rFonts w:asciiTheme="minorHAnsi" w:hAnsiTheme="minorHAnsi" w:cstheme="minorHAnsi"/>
          <w:sz w:val="22"/>
        </w:rPr>
        <w:t xml:space="preserve"> will ensure that all written induction records are retained in a secure place</w:t>
      </w:r>
      <w:r w:rsidR="00CF5E61" w:rsidRPr="00494D64">
        <w:rPr>
          <w:rFonts w:asciiTheme="minorHAnsi" w:hAnsiTheme="minorHAnsi" w:cstheme="minorHAnsi"/>
          <w:sz w:val="22"/>
        </w:rPr>
        <w:t xml:space="preserve">, </w:t>
      </w:r>
      <w:r w:rsidR="00CF5E61" w:rsidRPr="0023188F">
        <w:rPr>
          <w:rFonts w:asciiTheme="minorHAnsi" w:hAnsiTheme="minorHAnsi" w:cstheme="minorHAnsi"/>
          <w:sz w:val="22"/>
        </w:rPr>
        <w:t>for six years</w:t>
      </w:r>
      <w:r w:rsidR="00F94C59" w:rsidRPr="00494D64">
        <w:rPr>
          <w:rFonts w:asciiTheme="minorHAnsi" w:hAnsiTheme="minorHAnsi" w:cstheme="minorHAnsi"/>
          <w:sz w:val="22"/>
        </w:rPr>
        <w:t xml:space="preserve"> or longer if there are reasons to do so, as long as this complies with the Data Protection Act. </w:t>
      </w:r>
      <w:r w:rsidR="00DE17D2" w:rsidRPr="00494D64">
        <w:rPr>
          <w:rFonts w:asciiTheme="minorHAnsi" w:hAnsiTheme="minorHAnsi" w:cstheme="minorHAnsi"/>
          <w:sz w:val="22"/>
        </w:rPr>
        <w:t>As part of the a</w:t>
      </w:r>
      <w:r w:rsidRPr="00494D64">
        <w:rPr>
          <w:rFonts w:asciiTheme="minorHAnsi" w:hAnsiTheme="minorHAnsi" w:cstheme="minorHAnsi"/>
          <w:sz w:val="22"/>
        </w:rPr>
        <w:t>pplication of this policy, the Trust</w:t>
      </w:r>
      <w:r w:rsidR="00DE17D2" w:rsidRPr="00494D64">
        <w:rPr>
          <w:rFonts w:asciiTheme="minorHAnsi" w:hAnsiTheme="minorHAnsi" w:cstheme="minorHAnsi"/>
          <w:sz w:val="22"/>
        </w:rPr>
        <w:t xml:space="preserve"> may collect, process and store personal data in accordance with our data protection policy. </w:t>
      </w:r>
      <w:r w:rsidR="00166879" w:rsidRPr="00494D64">
        <w:rPr>
          <w:rFonts w:asciiTheme="minorHAnsi" w:hAnsiTheme="minorHAnsi" w:cstheme="minorHAnsi"/>
          <w:sz w:val="22"/>
        </w:rPr>
        <w:t>We will comply with the requirements of Data Protection Legislation (being the UK General Data Protection Regulation and Data Protection Act 2018) and any implementing laws, regulations and secondary legislation, as amended or updated from time to time</w:t>
      </w:r>
      <w:r w:rsidR="00DE17D2" w:rsidRPr="00494D64">
        <w:rPr>
          <w:rFonts w:asciiTheme="minorHAnsi" w:hAnsiTheme="minorHAnsi" w:cstheme="minorHAnsi"/>
          <w:sz w:val="22"/>
        </w:rPr>
        <w:t>. Records will be kept in accordance with our [Workforce Privacy Notice], our [Retention and Destruction Policy] and in line with the requirements of Data Protection Legislation.</w:t>
      </w:r>
    </w:p>
    <w:sectPr w:rsidR="00043C09" w:rsidRPr="00EC7C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DD7CF" w16cid:durableId="22D78E5F"/>
  <w16cid:commentId w16cid:paraId="78CD087D" w16cid:durableId="22D79ACC"/>
  <w16cid:commentId w16cid:paraId="1F0CFB9D" w16cid:durableId="22D78E60"/>
  <w16cid:commentId w16cid:paraId="5E89EE8F" w16cid:durableId="26408C66"/>
  <w16cid:commentId w16cid:paraId="08645051" w16cid:durableId="22D79E93"/>
  <w16cid:commentId w16cid:paraId="16DAF06F" w16cid:durableId="22D78E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A700" w14:textId="77777777" w:rsidR="00D952C7" w:rsidRDefault="00D952C7" w:rsidP="00270BFD">
      <w:r>
        <w:separator/>
      </w:r>
    </w:p>
  </w:endnote>
  <w:endnote w:type="continuationSeparator" w:id="0">
    <w:p w14:paraId="24782621" w14:textId="77777777" w:rsidR="00D952C7" w:rsidRDefault="00D952C7" w:rsidP="0027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d4ea092b-e611-4cf6-b1f7-db96"/>
  <w:p w14:paraId="388F36CA" w14:textId="77777777" w:rsidR="00EB0BA2" w:rsidRDefault="00EB0BA2">
    <w:pPr>
      <w:pStyle w:val="DocID"/>
    </w:pPr>
    <w:r>
      <w:fldChar w:fldCharType="begin"/>
    </w:r>
    <w:r>
      <w:instrText xml:space="preserve">  DOCPROPERTY "CUS_DocIDChunk0" </w:instrText>
    </w:r>
    <w:r>
      <w:fldChar w:fldCharType="separate"/>
    </w:r>
    <w:r>
      <w:rPr>
        <w:noProof/>
      </w:rPr>
      <w:t>LEGAL\62607450v1</w:t>
    </w:r>
    <w:r>
      <w:fldChar w:fldCharType="end"/>
    </w:r>
    <w:bookmarkEnd w:id="4"/>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iDocIDField693e5c84-76a8-4cb8-b58d-f699"/>
  <w:p w14:paraId="7F212062" w14:textId="77777777" w:rsidR="00EB0BA2" w:rsidRDefault="00EB0BA2">
    <w:pPr>
      <w:pStyle w:val="DocID"/>
    </w:pPr>
    <w:r>
      <w:fldChar w:fldCharType="begin"/>
    </w:r>
    <w:r>
      <w:instrText xml:space="preserve">  DOCPROPERTY "CUS_DocIDChunk0" </w:instrText>
    </w:r>
    <w:r>
      <w:fldChar w:fldCharType="separate"/>
    </w:r>
    <w:r>
      <w:rPr>
        <w:noProof/>
      </w:rPr>
      <w:t>LEGAL\62607450v1</w:t>
    </w:r>
    <w:r>
      <w:fldChar w:fldCharType="end"/>
    </w:r>
    <w:bookmarkEnd w:id="5"/>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206758"/>
      <w:docPartObj>
        <w:docPartGallery w:val="Page Numbers (Bottom of Page)"/>
        <w:docPartUnique/>
      </w:docPartObj>
    </w:sdtPr>
    <w:sdtEndPr>
      <w:rPr>
        <w:noProof/>
      </w:rPr>
    </w:sdtEndPr>
    <w:sdtContent>
      <w:p w14:paraId="0BCEC88A" w14:textId="118D2ADA" w:rsidR="00EB0BA2" w:rsidRDefault="00EB0BA2" w:rsidP="00CC3C3E">
        <w:pPr>
          <w:pStyle w:val="Footer"/>
          <w:jc w:val="center"/>
        </w:pPr>
        <w:r>
          <w:fldChar w:fldCharType="begin"/>
        </w:r>
        <w:r>
          <w:instrText xml:space="preserve"> PAGE   \* MERGEFORMAT </w:instrText>
        </w:r>
        <w:r>
          <w:fldChar w:fldCharType="separate"/>
        </w:r>
        <w:r w:rsidR="0059388A">
          <w:rPr>
            <w:noProof/>
          </w:rPr>
          <w:t>8</w:t>
        </w:r>
        <w:r>
          <w:rPr>
            <w:noProof/>
          </w:rPr>
          <w:fldChar w:fldCharType="end"/>
        </w:r>
      </w:p>
    </w:sdtContent>
  </w:sdt>
  <w:bookmarkStart w:id="6" w:name="_iDocIDField2ff42c02-0aba-474c-99e9-6609"/>
  <w:p w14:paraId="16EFFD53" w14:textId="739AC7BF" w:rsidR="00EB0BA2" w:rsidRDefault="00EB0BA2">
    <w:pPr>
      <w:pStyle w:val="DocID"/>
    </w:pPr>
    <w:r>
      <w:fldChar w:fldCharType="begin"/>
    </w:r>
    <w:r>
      <w:instrText xml:space="preserve">  DOCPROPERTY "CUS_DocIDChunk0" </w:instrText>
    </w:r>
    <w:r>
      <w:fldChar w:fldCharType="end"/>
    </w:r>
    <w:bookmarkEnd w:id="6"/>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8F119" w14:textId="77777777" w:rsidR="00D952C7" w:rsidRDefault="00D952C7" w:rsidP="00270BFD">
      <w:r>
        <w:separator/>
      </w:r>
    </w:p>
  </w:footnote>
  <w:footnote w:type="continuationSeparator" w:id="0">
    <w:p w14:paraId="57AD179C" w14:textId="77777777" w:rsidR="00D952C7" w:rsidRDefault="00D952C7" w:rsidP="00270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08C7D54"/>
    <w:multiLevelType w:val="multilevel"/>
    <w:tmpl w:val="C65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53FC3D08"/>
    <w:multiLevelType w:val="multilevel"/>
    <w:tmpl w:val="4E6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3D7C67"/>
    <w:multiLevelType w:val="multilevel"/>
    <w:tmpl w:val="AC80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336A3B"/>
    <w:multiLevelType w:val="hybridMultilevel"/>
    <w:tmpl w:val="3C528A92"/>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BJStyles"/>
  </w:docVars>
  <w:rsids>
    <w:rsidRoot w:val="00FA4CB2"/>
    <w:rsid w:val="00003DF0"/>
    <w:rsid w:val="00006242"/>
    <w:rsid w:val="00006FAB"/>
    <w:rsid w:val="00023BA0"/>
    <w:rsid w:val="0004024B"/>
    <w:rsid w:val="00043C09"/>
    <w:rsid w:val="00044FDF"/>
    <w:rsid w:val="00045021"/>
    <w:rsid w:val="00057535"/>
    <w:rsid w:val="00061AF8"/>
    <w:rsid w:val="000759EC"/>
    <w:rsid w:val="00087266"/>
    <w:rsid w:val="000A5B17"/>
    <w:rsid w:val="000D7CBD"/>
    <w:rsid w:val="000E3832"/>
    <w:rsid w:val="000F25B2"/>
    <w:rsid w:val="000F2FC5"/>
    <w:rsid w:val="000F65DA"/>
    <w:rsid w:val="00100A30"/>
    <w:rsid w:val="0010614F"/>
    <w:rsid w:val="00106EC4"/>
    <w:rsid w:val="001268B9"/>
    <w:rsid w:val="0013476A"/>
    <w:rsid w:val="001455DB"/>
    <w:rsid w:val="0016223E"/>
    <w:rsid w:val="00165AB2"/>
    <w:rsid w:val="00165DB8"/>
    <w:rsid w:val="00166879"/>
    <w:rsid w:val="00171824"/>
    <w:rsid w:val="00176378"/>
    <w:rsid w:val="001951A3"/>
    <w:rsid w:val="001A5420"/>
    <w:rsid w:val="001C2B2B"/>
    <w:rsid w:val="001D39A9"/>
    <w:rsid w:val="001D45CB"/>
    <w:rsid w:val="001E3B96"/>
    <w:rsid w:val="001E5594"/>
    <w:rsid w:val="001E6BF2"/>
    <w:rsid w:val="001F2ECA"/>
    <w:rsid w:val="001F4D07"/>
    <w:rsid w:val="001F5C1B"/>
    <w:rsid w:val="00204A2C"/>
    <w:rsid w:val="00213512"/>
    <w:rsid w:val="00221AB3"/>
    <w:rsid w:val="0023188F"/>
    <w:rsid w:val="002350B7"/>
    <w:rsid w:val="00242B8A"/>
    <w:rsid w:val="0024787C"/>
    <w:rsid w:val="00254820"/>
    <w:rsid w:val="00256772"/>
    <w:rsid w:val="00262E2B"/>
    <w:rsid w:val="00270BFD"/>
    <w:rsid w:val="002729CF"/>
    <w:rsid w:val="00294626"/>
    <w:rsid w:val="002A4B6A"/>
    <w:rsid w:val="002B11DD"/>
    <w:rsid w:val="002C747D"/>
    <w:rsid w:val="002D1DD8"/>
    <w:rsid w:val="002D40E3"/>
    <w:rsid w:val="002E2E38"/>
    <w:rsid w:val="002F048D"/>
    <w:rsid w:val="002F3931"/>
    <w:rsid w:val="003000BC"/>
    <w:rsid w:val="00301556"/>
    <w:rsid w:val="00301E3F"/>
    <w:rsid w:val="0030463D"/>
    <w:rsid w:val="00310151"/>
    <w:rsid w:val="00313D57"/>
    <w:rsid w:val="003159D3"/>
    <w:rsid w:val="00327F95"/>
    <w:rsid w:val="003356C1"/>
    <w:rsid w:val="00335D3B"/>
    <w:rsid w:val="00341F80"/>
    <w:rsid w:val="00361EA2"/>
    <w:rsid w:val="00374749"/>
    <w:rsid w:val="00381021"/>
    <w:rsid w:val="00384D1D"/>
    <w:rsid w:val="003C0C50"/>
    <w:rsid w:val="003C211F"/>
    <w:rsid w:val="003D12A3"/>
    <w:rsid w:val="00403CD4"/>
    <w:rsid w:val="00420610"/>
    <w:rsid w:val="00424C25"/>
    <w:rsid w:val="00430A71"/>
    <w:rsid w:val="004368D5"/>
    <w:rsid w:val="00437AA7"/>
    <w:rsid w:val="004415C0"/>
    <w:rsid w:val="004608B5"/>
    <w:rsid w:val="004707BB"/>
    <w:rsid w:val="004722A1"/>
    <w:rsid w:val="004736A0"/>
    <w:rsid w:val="004743B0"/>
    <w:rsid w:val="00494D64"/>
    <w:rsid w:val="004A0AD4"/>
    <w:rsid w:val="004B1FE1"/>
    <w:rsid w:val="004C138E"/>
    <w:rsid w:val="004C1FC4"/>
    <w:rsid w:val="004D31E9"/>
    <w:rsid w:val="004E211C"/>
    <w:rsid w:val="004E7A06"/>
    <w:rsid w:val="004E7EC0"/>
    <w:rsid w:val="004F338A"/>
    <w:rsid w:val="005170F6"/>
    <w:rsid w:val="0051789D"/>
    <w:rsid w:val="0053086E"/>
    <w:rsid w:val="00531D7E"/>
    <w:rsid w:val="00532937"/>
    <w:rsid w:val="00540969"/>
    <w:rsid w:val="0056054D"/>
    <w:rsid w:val="0056666A"/>
    <w:rsid w:val="005760DB"/>
    <w:rsid w:val="00576D1B"/>
    <w:rsid w:val="00584169"/>
    <w:rsid w:val="00584317"/>
    <w:rsid w:val="0059388A"/>
    <w:rsid w:val="00596E39"/>
    <w:rsid w:val="005A770E"/>
    <w:rsid w:val="005B09A2"/>
    <w:rsid w:val="005B76FF"/>
    <w:rsid w:val="005C10FC"/>
    <w:rsid w:val="005C495D"/>
    <w:rsid w:val="005C7AE5"/>
    <w:rsid w:val="005C7CAB"/>
    <w:rsid w:val="005E4893"/>
    <w:rsid w:val="005E5E4D"/>
    <w:rsid w:val="005F0CC3"/>
    <w:rsid w:val="005F3A6C"/>
    <w:rsid w:val="005F3AC2"/>
    <w:rsid w:val="00615990"/>
    <w:rsid w:val="00621507"/>
    <w:rsid w:val="00622DE7"/>
    <w:rsid w:val="00624692"/>
    <w:rsid w:val="0065045F"/>
    <w:rsid w:val="00672ADE"/>
    <w:rsid w:val="00684494"/>
    <w:rsid w:val="00690B0A"/>
    <w:rsid w:val="006B1417"/>
    <w:rsid w:val="006B3E41"/>
    <w:rsid w:val="006B4780"/>
    <w:rsid w:val="006C235C"/>
    <w:rsid w:val="006C395E"/>
    <w:rsid w:val="006F5BF2"/>
    <w:rsid w:val="007002AE"/>
    <w:rsid w:val="00700F71"/>
    <w:rsid w:val="00706A10"/>
    <w:rsid w:val="007074E9"/>
    <w:rsid w:val="007103B9"/>
    <w:rsid w:val="00713952"/>
    <w:rsid w:val="00715DB3"/>
    <w:rsid w:val="00721CA1"/>
    <w:rsid w:val="00727C88"/>
    <w:rsid w:val="0073592B"/>
    <w:rsid w:val="00745175"/>
    <w:rsid w:val="00750C28"/>
    <w:rsid w:val="00751433"/>
    <w:rsid w:val="00753804"/>
    <w:rsid w:val="007562C1"/>
    <w:rsid w:val="00764FAB"/>
    <w:rsid w:val="00775A47"/>
    <w:rsid w:val="00781E62"/>
    <w:rsid w:val="00786692"/>
    <w:rsid w:val="00795827"/>
    <w:rsid w:val="007A0D3F"/>
    <w:rsid w:val="007A2ED6"/>
    <w:rsid w:val="007A31D4"/>
    <w:rsid w:val="007A6145"/>
    <w:rsid w:val="007B2219"/>
    <w:rsid w:val="007B4AAC"/>
    <w:rsid w:val="007D7BC2"/>
    <w:rsid w:val="007F3541"/>
    <w:rsid w:val="007F3CF5"/>
    <w:rsid w:val="008135E4"/>
    <w:rsid w:val="0081492A"/>
    <w:rsid w:val="00820E9F"/>
    <w:rsid w:val="0082709C"/>
    <w:rsid w:val="00830F1A"/>
    <w:rsid w:val="00831AB3"/>
    <w:rsid w:val="00832773"/>
    <w:rsid w:val="00887922"/>
    <w:rsid w:val="00891975"/>
    <w:rsid w:val="008A3727"/>
    <w:rsid w:val="008B6B71"/>
    <w:rsid w:val="008B6F31"/>
    <w:rsid w:val="008B7D16"/>
    <w:rsid w:val="008C2389"/>
    <w:rsid w:val="008C6E28"/>
    <w:rsid w:val="008C7ED0"/>
    <w:rsid w:val="008D114B"/>
    <w:rsid w:val="008E003E"/>
    <w:rsid w:val="008F71DF"/>
    <w:rsid w:val="00915F32"/>
    <w:rsid w:val="009208F7"/>
    <w:rsid w:val="00922843"/>
    <w:rsid w:val="00942560"/>
    <w:rsid w:val="009801FB"/>
    <w:rsid w:val="00983643"/>
    <w:rsid w:val="009920B0"/>
    <w:rsid w:val="009A2403"/>
    <w:rsid w:val="009B6F8D"/>
    <w:rsid w:val="009C3953"/>
    <w:rsid w:val="009C5D49"/>
    <w:rsid w:val="009D2A73"/>
    <w:rsid w:val="009E0737"/>
    <w:rsid w:val="009E46BC"/>
    <w:rsid w:val="009F0CE8"/>
    <w:rsid w:val="009F0DE5"/>
    <w:rsid w:val="009F4C6A"/>
    <w:rsid w:val="009F5CD1"/>
    <w:rsid w:val="00A04AF4"/>
    <w:rsid w:val="00A21856"/>
    <w:rsid w:val="00A22EAA"/>
    <w:rsid w:val="00A87A72"/>
    <w:rsid w:val="00A959D2"/>
    <w:rsid w:val="00AA06DF"/>
    <w:rsid w:val="00AB4A20"/>
    <w:rsid w:val="00AC39CF"/>
    <w:rsid w:val="00AD22BB"/>
    <w:rsid w:val="00AD3FA6"/>
    <w:rsid w:val="00AE4481"/>
    <w:rsid w:val="00AE5614"/>
    <w:rsid w:val="00B20190"/>
    <w:rsid w:val="00B23465"/>
    <w:rsid w:val="00B31823"/>
    <w:rsid w:val="00B32AE3"/>
    <w:rsid w:val="00B33042"/>
    <w:rsid w:val="00B4758E"/>
    <w:rsid w:val="00B53DEF"/>
    <w:rsid w:val="00B87241"/>
    <w:rsid w:val="00B9120B"/>
    <w:rsid w:val="00B93C1F"/>
    <w:rsid w:val="00BA1F68"/>
    <w:rsid w:val="00BB21F0"/>
    <w:rsid w:val="00BC6B46"/>
    <w:rsid w:val="00BC7CE2"/>
    <w:rsid w:val="00BE445B"/>
    <w:rsid w:val="00BE7EEE"/>
    <w:rsid w:val="00BF5C0C"/>
    <w:rsid w:val="00C0138D"/>
    <w:rsid w:val="00C22B6E"/>
    <w:rsid w:val="00C3574C"/>
    <w:rsid w:val="00C40493"/>
    <w:rsid w:val="00C41554"/>
    <w:rsid w:val="00C54744"/>
    <w:rsid w:val="00C74C2B"/>
    <w:rsid w:val="00C7779B"/>
    <w:rsid w:val="00C94815"/>
    <w:rsid w:val="00CA6AD6"/>
    <w:rsid w:val="00CC434C"/>
    <w:rsid w:val="00CD587A"/>
    <w:rsid w:val="00CE6411"/>
    <w:rsid w:val="00CF181D"/>
    <w:rsid w:val="00CF23BA"/>
    <w:rsid w:val="00CF5E61"/>
    <w:rsid w:val="00D13A32"/>
    <w:rsid w:val="00D232FE"/>
    <w:rsid w:val="00D25908"/>
    <w:rsid w:val="00D32ACA"/>
    <w:rsid w:val="00D337A5"/>
    <w:rsid w:val="00D347A1"/>
    <w:rsid w:val="00D55DCE"/>
    <w:rsid w:val="00D64AF3"/>
    <w:rsid w:val="00D83154"/>
    <w:rsid w:val="00D848E9"/>
    <w:rsid w:val="00D952C7"/>
    <w:rsid w:val="00D960FB"/>
    <w:rsid w:val="00DB192B"/>
    <w:rsid w:val="00DB1A49"/>
    <w:rsid w:val="00DB4E4B"/>
    <w:rsid w:val="00DC1EDA"/>
    <w:rsid w:val="00DE17D2"/>
    <w:rsid w:val="00DE2020"/>
    <w:rsid w:val="00DE42B9"/>
    <w:rsid w:val="00DF3447"/>
    <w:rsid w:val="00DF6C63"/>
    <w:rsid w:val="00E13069"/>
    <w:rsid w:val="00E15C92"/>
    <w:rsid w:val="00E321AD"/>
    <w:rsid w:val="00E47F63"/>
    <w:rsid w:val="00E549DF"/>
    <w:rsid w:val="00E62255"/>
    <w:rsid w:val="00E801F6"/>
    <w:rsid w:val="00E926C2"/>
    <w:rsid w:val="00EA7C9D"/>
    <w:rsid w:val="00EB0BA2"/>
    <w:rsid w:val="00EB160E"/>
    <w:rsid w:val="00EC0AB2"/>
    <w:rsid w:val="00EC7CB4"/>
    <w:rsid w:val="00ED238F"/>
    <w:rsid w:val="00ED3B5F"/>
    <w:rsid w:val="00ED5BD6"/>
    <w:rsid w:val="00ED6A3B"/>
    <w:rsid w:val="00EE2C01"/>
    <w:rsid w:val="00EE2C7B"/>
    <w:rsid w:val="00F05362"/>
    <w:rsid w:val="00F0610E"/>
    <w:rsid w:val="00F17133"/>
    <w:rsid w:val="00F175D4"/>
    <w:rsid w:val="00F20029"/>
    <w:rsid w:val="00F66396"/>
    <w:rsid w:val="00F675F3"/>
    <w:rsid w:val="00F87644"/>
    <w:rsid w:val="00F94C59"/>
    <w:rsid w:val="00FA4CB2"/>
    <w:rsid w:val="00FA550D"/>
    <w:rsid w:val="00FA7861"/>
    <w:rsid w:val="00FB64B0"/>
    <w:rsid w:val="00FB7A38"/>
    <w:rsid w:val="00FC6BBC"/>
    <w:rsid w:val="00FD5FEB"/>
    <w:rsid w:val="00FE1651"/>
    <w:rsid w:val="00FE6F38"/>
    <w:rsid w:val="00FF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F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2350B7"/>
    <w:pPr>
      <w:spacing w:after="0" w:line="240" w:lineRule="auto"/>
      <w:jc w:val="both"/>
    </w:pPr>
    <w:rPr>
      <w:rFonts w:ascii="Trebuchet MS" w:hAnsi="Trebuchet MS"/>
      <w:sz w:val="20"/>
      <w:szCs w:val="20"/>
      <w:lang w:val="en-GB"/>
    </w:rPr>
  </w:style>
  <w:style w:type="paragraph" w:styleId="Heading1">
    <w:name w:val="heading 1"/>
    <w:aliases w:val="Heading"/>
    <w:basedOn w:val="Normal"/>
    <w:next w:val="BodyText"/>
    <w:link w:val="Heading1Char"/>
    <w:qFormat/>
    <w:rsid w:val="002B11DD"/>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8135E4"/>
    <w:pPr>
      <w:keepNext/>
      <w:keepLines/>
      <w:spacing w:after="240"/>
      <w:ind w:left="720"/>
      <w:outlineLvl w:val="1"/>
    </w:pPr>
    <w:rPr>
      <w:rFonts w:eastAsiaTheme="majorEastAsia" w:cstheme="majorBidi"/>
      <w:b/>
      <w:bCs/>
      <w:sz w:val="22"/>
      <w:szCs w:val="26"/>
    </w:rPr>
  </w:style>
  <w:style w:type="paragraph" w:styleId="Heading3">
    <w:name w:val="heading 3"/>
    <w:basedOn w:val="BodyText"/>
    <w:next w:val="BodyText"/>
    <w:link w:val="Heading3Char"/>
    <w:uiPriority w:val="99"/>
    <w:semiHidden/>
    <w:rsid w:val="00C40493"/>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C40493"/>
    <w:pPr>
      <w:outlineLvl w:val="3"/>
    </w:pPr>
  </w:style>
  <w:style w:type="paragraph" w:styleId="Heading5">
    <w:name w:val="heading 5"/>
    <w:basedOn w:val="BodyText"/>
    <w:next w:val="BodyText"/>
    <w:link w:val="Heading5Char"/>
    <w:uiPriority w:val="99"/>
    <w:semiHidden/>
    <w:qFormat/>
    <w:rsid w:val="00C40493"/>
    <w:pPr>
      <w:outlineLvl w:val="4"/>
    </w:pPr>
  </w:style>
  <w:style w:type="paragraph" w:styleId="Heading6">
    <w:name w:val="heading 6"/>
    <w:basedOn w:val="BodyText"/>
    <w:next w:val="BodyText"/>
    <w:link w:val="Heading6Char"/>
    <w:uiPriority w:val="99"/>
    <w:semiHidden/>
    <w:rsid w:val="00C40493"/>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C404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BFD"/>
    <w:pPr>
      <w:tabs>
        <w:tab w:val="center" w:pos="4680"/>
        <w:tab w:val="right" w:pos="9360"/>
      </w:tabs>
    </w:pPr>
  </w:style>
  <w:style w:type="character" w:customStyle="1" w:styleId="HeaderChar">
    <w:name w:val="Header Char"/>
    <w:basedOn w:val="DefaultParagraphFont"/>
    <w:link w:val="Header"/>
    <w:uiPriority w:val="99"/>
    <w:rsid w:val="00270BFD"/>
  </w:style>
  <w:style w:type="paragraph" w:styleId="Footer">
    <w:name w:val="footer"/>
    <w:basedOn w:val="Normal"/>
    <w:link w:val="FooterChar"/>
    <w:uiPriority w:val="99"/>
    <w:unhideWhenUsed/>
    <w:rsid w:val="00270BFD"/>
    <w:pPr>
      <w:tabs>
        <w:tab w:val="center" w:pos="4680"/>
        <w:tab w:val="right" w:pos="9360"/>
      </w:tabs>
    </w:pPr>
  </w:style>
  <w:style w:type="character" w:customStyle="1" w:styleId="FooterChar">
    <w:name w:val="Footer Char"/>
    <w:basedOn w:val="DefaultParagraphFont"/>
    <w:link w:val="Footer"/>
    <w:uiPriority w:val="99"/>
    <w:rsid w:val="00270BFD"/>
  </w:style>
  <w:style w:type="paragraph" w:customStyle="1" w:styleId="Default">
    <w:name w:val="Default"/>
    <w:rsid w:val="001455DB"/>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NoSpacing">
    <w:name w:val="No Spacing"/>
    <w:uiPriority w:val="1"/>
    <w:qFormat/>
    <w:rsid w:val="001455DB"/>
    <w:pPr>
      <w:spacing w:after="0" w:line="240" w:lineRule="auto"/>
    </w:pPr>
    <w:rPr>
      <w:rFonts w:ascii="Calibri" w:eastAsia="Calibri" w:hAnsi="Calibri" w:cs="Times New Roman"/>
      <w:lang w:val="en-GB"/>
    </w:rPr>
  </w:style>
  <w:style w:type="character" w:styleId="CommentReference">
    <w:name w:val="annotation reference"/>
    <w:basedOn w:val="DefaultParagraphFont"/>
    <w:unhideWhenUsed/>
    <w:rsid w:val="00F0610E"/>
    <w:rPr>
      <w:sz w:val="16"/>
      <w:szCs w:val="16"/>
    </w:rPr>
  </w:style>
  <w:style w:type="paragraph" w:styleId="CommentText">
    <w:name w:val="annotation text"/>
    <w:basedOn w:val="Normal"/>
    <w:link w:val="CommentTextChar"/>
    <w:unhideWhenUsed/>
    <w:rsid w:val="00F0610E"/>
  </w:style>
  <w:style w:type="character" w:customStyle="1" w:styleId="CommentTextChar">
    <w:name w:val="Comment Text Char"/>
    <w:basedOn w:val="DefaultParagraphFont"/>
    <w:link w:val="CommentText"/>
    <w:rsid w:val="00F0610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0610E"/>
    <w:rPr>
      <w:b/>
      <w:bCs/>
    </w:rPr>
  </w:style>
  <w:style w:type="character" w:customStyle="1" w:styleId="CommentSubjectChar">
    <w:name w:val="Comment Subject Char"/>
    <w:basedOn w:val="CommentTextChar"/>
    <w:link w:val="CommentSubject"/>
    <w:uiPriority w:val="99"/>
    <w:semiHidden/>
    <w:rsid w:val="00F0610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F0610E"/>
    <w:rPr>
      <w:rFonts w:ascii="Tahoma" w:hAnsi="Tahoma" w:cs="Tahoma"/>
      <w:sz w:val="16"/>
      <w:szCs w:val="16"/>
    </w:rPr>
  </w:style>
  <w:style w:type="character" w:customStyle="1" w:styleId="BalloonTextChar">
    <w:name w:val="Balloon Text Char"/>
    <w:basedOn w:val="DefaultParagraphFont"/>
    <w:link w:val="BalloonText"/>
    <w:uiPriority w:val="99"/>
    <w:semiHidden/>
    <w:rsid w:val="00F0610E"/>
    <w:rPr>
      <w:rFonts w:ascii="Tahoma" w:eastAsia="Calibri" w:hAnsi="Tahoma" w:cs="Tahoma"/>
      <w:sz w:val="16"/>
      <w:szCs w:val="16"/>
      <w:lang w:val="en-GB"/>
    </w:rPr>
  </w:style>
  <w:style w:type="paragraph" w:styleId="ListParagraph">
    <w:name w:val="List Paragraph"/>
    <w:basedOn w:val="Normal"/>
    <w:uiPriority w:val="34"/>
    <w:qFormat/>
    <w:rsid w:val="00256772"/>
    <w:pPr>
      <w:ind w:left="720"/>
      <w:contextualSpacing/>
    </w:pPr>
  </w:style>
  <w:style w:type="table" w:styleId="TableGrid">
    <w:name w:val="Table Grid"/>
    <w:basedOn w:val="TableNormal"/>
    <w:uiPriority w:val="59"/>
    <w:rsid w:val="00B3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40493"/>
    <w:pPr>
      <w:spacing w:after="240"/>
    </w:pPr>
  </w:style>
  <w:style w:type="character" w:customStyle="1" w:styleId="BodyTextChar">
    <w:name w:val="Body Text Char"/>
    <w:basedOn w:val="DefaultParagraphFont"/>
    <w:link w:val="BodyText"/>
    <w:uiPriority w:val="1"/>
    <w:rsid w:val="00C40493"/>
    <w:rPr>
      <w:rFonts w:ascii="Trebuchet MS" w:hAnsi="Trebuchet MS"/>
      <w:szCs w:val="20"/>
      <w:lang w:val="en-GB"/>
    </w:rPr>
  </w:style>
  <w:style w:type="character" w:customStyle="1" w:styleId="Heading1Char">
    <w:name w:val="Heading 1 Char"/>
    <w:aliases w:val="Heading Char"/>
    <w:basedOn w:val="DefaultParagraphFont"/>
    <w:link w:val="Heading1"/>
    <w:rsid w:val="002B11DD"/>
    <w:rPr>
      <w:rFonts w:ascii="Trebuchet MS" w:eastAsiaTheme="majorEastAsia" w:hAnsi="Trebuchet MS" w:cstheme="majorBidi"/>
      <w:b/>
      <w:bCs/>
      <w:sz w:val="44"/>
      <w:szCs w:val="28"/>
      <w:lang w:val="en-GB"/>
    </w:rPr>
  </w:style>
  <w:style w:type="character" w:customStyle="1" w:styleId="Heading2Char">
    <w:name w:val="Heading 2 Char"/>
    <w:aliases w:val="Subheading Char"/>
    <w:basedOn w:val="DefaultParagraphFont"/>
    <w:link w:val="Heading2"/>
    <w:rsid w:val="008135E4"/>
    <w:rPr>
      <w:rFonts w:ascii="Trebuchet MS" w:eastAsiaTheme="majorEastAsia" w:hAnsi="Trebuchet MS" w:cstheme="majorBidi"/>
      <w:b/>
      <w:bCs/>
      <w:szCs w:val="26"/>
      <w:lang w:val="en-GB"/>
    </w:rPr>
  </w:style>
  <w:style w:type="character" w:customStyle="1" w:styleId="Heading3Char">
    <w:name w:val="Heading 3 Char"/>
    <w:basedOn w:val="DefaultParagraphFont"/>
    <w:link w:val="Heading3"/>
    <w:uiPriority w:val="99"/>
    <w:semiHidden/>
    <w:rsid w:val="00C40493"/>
    <w:rPr>
      <w:rFonts w:asciiTheme="majorHAnsi" w:eastAsiaTheme="majorEastAsia" w:hAnsiTheme="majorHAnsi" w:cstheme="majorBidi"/>
      <w:b/>
      <w:bCs/>
      <w:szCs w:val="20"/>
      <w:lang w:val="en-GB"/>
    </w:rPr>
  </w:style>
  <w:style w:type="character" w:customStyle="1" w:styleId="Heading4Char">
    <w:name w:val="Heading 4 Char"/>
    <w:basedOn w:val="DefaultParagraphFont"/>
    <w:link w:val="Heading4"/>
    <w:uiPriority w:val="99"/>
    <w:semiHidden/>
    <w:rsid w:val="00C40493"/>
    <w:rPr>
      <w:rFonts w:ascii="Trebuchet MS" w:hAnsi="Trebuchet MS"/>
      <w:szCs w:val="20"/>
      <w:lang w:val="en-GB"/>
    </w:rPr>
  </w:style>
  <w:style w:type="character" w:customStyle="1" w:styleId="Heading5Char">
    <w:name w:val="Heading 5 Char"/>
    <w:basedOn w:val="DefaultParagraphFont"/>
    <w:link w:val="Heading5"/>
    <w:uiPriority w:val="99"/>
    <w:semiHidden/>
    <w:rsid w:val="00C40493"/>
    <w:rPr>
      <w:rFonts w:ascii="Trebuchet MS" w:hAnsi="Trebuchet MS"/>
      <w:szCs w:val="20"/>
      <w:lang w:val="en-GB"/>
    </w:rPr>
  </w:style>
  <w:style w:type="character" w:customStyle="1" w:styleId="Heading6Char">
    <w:name w:val="Heading 6 Char"/>
    <w:basedOn w:val="DefaultParagraphFont"/>
    <w:link w:val="Heading6"/>
    <w:uiPriority w:val="99"/>
    <w:semiHidden/>
    <w:rsid w:val="00C40493"/>
    <w:rPr>
      <w:rFonts w:asciiTheme="majorHAnsi" w:eastAsiaTheme="majorEastAsia" w:hAnsiTheme="majorHAnsi" w:cstheme="majorBidi"/>
      <w:i/>
      <w:iCs/>
      <w:szCs w:val="20"/>
      <w:lang w:val="en-GB"/>
    </w:rPr>
  </w:style>
  <w:style w:type="character" w:customStyle="1" w:styleId="Heading7Char">
    <w:name w:val="Heading 7 Char"/>
    <w:basedOn w:val="DefaultParagraphFont"/>
    <w:link w:val="Heading7"/>
    <w:uiPriority w:val="99"/>
    <w:semiHidden/>
    <w:rsid w:val="00C40493"/>
    <w:rPr>
      <w:rFonts w:asciiTheme="majorHAnsi" w:eastAsiaTheme="majorEastAsia" w:hAnsiTheme="majorHAnsi" w:cstheme="majorBidi"/>
      <w:i/>
      <w:iCs/>
      <w:color w:val="404040" w:themeColor="text1" w:themeTint="BF"/>
      <w:szCs w:val="20"/>
      <w:lang w:val="en-GB"/>
    </w:rPr>
  </w:style>
  <w:style w:type="paragraph" w:customStyle="1" w:styleId="BodyText1">
    <w:name w:val="Body Text 1"/>
    <w:basedOn w:val="Normal"/>
    <w:link w:val="BodyText1Char"/>
    <w:uiPriority w:val="2"/>
    <w:qFormat/>
    <w:rsid w:val="00C40493"/>
    <w:pPr>
      <w:spacing w:after="240"/>
      <w:ind w:left="720"/>
    </w:pPr>
  </w:style>
  <w:style w:type="character" w:customStyle="1" w:styleId="BodyText1Char">
    <w:name w:val="Body Text 1 Char"/>
    <w:basedOn w:val="DefaultParagraphFont"/>
    <w:link w:val="BodyText1"/>
    <w:uiPriority w:val="2"/>
    <w:rsid w:val="00C40493"/>
    <w:rPr>
      <w:rFonts w:ascii="Trebuchet MS" w:hAnsi="Trebuchet MS"/>
      <w:szCs w:val="20"/>
      <w:lang w:val="en-GB"/>
    </w:rPr>
  </w:style>
  <w:style w:type="paragraph" w:styleId="BodyText2">
    <w:name w:val="Body Text 2"/>
    <w:basedOn w:val="Normal"/>
    <w:link w:val="BodyText2Char"/>
    <w:uiPriority w:val="3"/>
    <w:qFormat/>
    <w:rsid w:val="00C40493"/>
    <w:pPr>
      <w:spacing w:after="240"/>
      <w:ind w:left="1440"/>
    </w:pPr>
  </w:style>
  <w:style w:type="character" w:customStyle="1" w:styleId="BodyText2Char">
    <w:name w:val="Body Text 2 Char"/>
    <w:basedOn w:val="DefaultParagraphFont"/>
    <w:link w:val="BodyText2"/>
    <w:uiPriority w:val="3"/>
    <w:rsid w:val="00C40493"/>
    <w:rPr>
      <w:rFonts w:ascii="Trebuchet MS" w:hAnsi="Trebuchet MS"/>
      <w:szCs w:val="20"/>
      <w:lang w:val="en-GB"/>
    </w:rPr>
  </w:style>
  <w:style w:type="paragraph" w:styleId="BodyText3">
    <w:name w:val="Body Text 3"/>
    <w:basedOn w:val="Normal"/>
    <w:link w:val="BodyText3Char"/>
    <w:uiPriority w:val="3"/>
    <w:qFormat/>
    <w:rsid w:val="00C40493"/>
    <w:pPr>
      <w:spacing w:after="240"/>
      <w:ind w:left="2517"/>
    </w:pPr>
    <w:rPr>
      <w:szCs w:val="16"/>
    </w:rPr>
  </w:style>
  <w:style w:type="character" w:customStyle="1" w:styleId="BodyText3Char">
    <w:name w:val="Body Text 3 Char"/>
    <w:basedOn w:val="DefaultParagraphFont"/>
    <w:link w:val="BodyText3"/>
    <w:uiPriority w:val="3"/>
    <w:rsid w:val="00C40493"/>
    <w:rPr>
      <w:rFonts w:ascii="Trebuchet MS" w:hAnsi="Trebuchet MS"/>
      <w:szCs w:val="16"/>
      <w:lang w:val="en-GB"/>
    </w:rPr>
  </w:style>
  <w:style w:type="paragraph" w:customStyle="1" w:styleId="BodyText4">
    <w:name w:val="Body Text 4"/>
    <w:basedOn w:val="Normal"/>
    <w:link w:val="BodyText4Char"/>
    <w:uiPriority w:val="3"/>
    <w:qFormat/>
    <w:rsid w:val="00C40493"/>
    <w:pPr>
      <w:spacing w:after="240"/>
      <w:ind w:left="3238"/>
    </w:pPr>
  </w:style>
  <w:style w:type="character" w:customStyle="1" w:styleId="BodyText4Char">
    <w:name w:val="Body Text 4 Char"/>
    <w:basedOn w:val="DefaultParagraphFont"/>
    <w:link w:val="BodyText4"/>
    <w:uiPriority w:val="3"/>
    <w:rsid w:val="00C40493"/>
    <w:rPr>
      <w:rFonts w:ascii="Trebuchet MS" w:hAnsi="Trebuchet MS"/>
      <w:szCs w:val="20"/>
      <w:lang w:val="en-GB"/>
    </w:rPr>
  </w:style>
  <w:style w:type="paragraph" w:customStyle="1" w:styleId="BodyText5">
    <w:name w:val="Body Text 5"/>
    <w:basedOn w:val="Normal"/>
    <w:link w:val="BodyText5Char"/>
    <w:uiPriority w:val="3"/>
    <w:qFormat/>
    <w:rsid w:val="00C40493"/>
    <w:pPr>
      <w:spacing w:after="240"/>
      <w:ind w:left="3958"/>
    </w:pPr>
  </w:style>
  <w:style w:type="character" w:customStyle="1" w:styleId="BodyText5Char">
    <w:name w:val="Body Text 5 Char"/>
    <w:basedOn w:val="DefaultParagraphFont"/>
    <w:link w:val="BodyText5"/>
    <w:uiPriority w:val="3"/>
    <w:rsid w:val="00C40493"/>
    <w:rPr>
      <w:rFonts w:ascii="Trebuchet MS" w:hAnsi="Trebuchet MS"/>
      <w:szCs w:val="20"/>
      <w:lang w:val="en-GB"/>
    </w:rPr>
  </w:style>
  <w:style w:type="paragraph" w:customStyle="1" w:styleId="Bullet1">
    <w:name w:val="Bullet 1"/>
    <w:basedOn w:val="Normal"/>
    <w:uiPriority w:val="29"/>
    <w:qFormat/>
    <w:rsid w:val="00C40493"/>
    <w:pPr>
      <w:numPr>
        <w:numId w:val="1"/>
      </w:numPr>
      <w:spacing w:after="240"/>
    </w:pPr>
    <w:rPr>
      <w:rFonts w:cs="Times New Roman"/>
      <w:szCs w:val="22"/>
    </w:rPr>
  </w:style>
  <w:style w:type="paragraph" w:customStyle="1" w:styleId="Bullet2">
    <w:name w:val="Bullet 2"/>
    <w:basedOn w:val="Normal"/>
    <w:uiPriority w:val="29"/>
    <w:qFormat/>
    <w:rsid w:val="0010614F"/>
    <w:pPr>
      <w:numPr>
        <w:ilvl w:val="1"/>
        <w:numId w:val="1"/>
      </w:numPr>
      <w:spacing w:after="240"/>
      <w:contextualSpacing/>
    </w:pPr>
    <w:rPr>
      <w:rFonts w:cs="Times New Roman"/>
      <w:szCs w:val="22"/>
    </w:rPr>
  </w:style>
  <w:style w:type="paragraph" w:customStyle="1" w:styleId="Bullet3">
    <w:name w:val="Bullet 3"/>
    <w:basedOn w:val="Normal"/>
    <w:uiPriority w:val="29"/>
    <w:qFormat/>
    <w:rsid w:val="00C40493"/>
    <w:pPr>
      <w:numPr>
        <w:ilvl w:val="2"/>
        <w:numId w:val="1"/>
      </w:numPr>
      <w:spacing w:after="240"/>
    </w:pPr>
    <w:rPr>
      <w:rFonts w:cs="Times New Roman"/>
      <w:szCs w:val="22"/>
    </w:rPr>
  </w:style>
  <w:style w:type="numbering" w:customStyle="1" w:styleId="Bullets">
    <w:name w:val="Bullets"/>
    <w:uiPriority w:val="99"/>
    <w:rsid w:val="00C40493"/>
    <w:pPr>
      <w:numPr>
        <w:numId w:val="1"/>
      </w:numPr>
    </w:pPr>
  </w:style>
  <w:style w:type="paragraph" w:customStyle="1" w:styleId="HeadingLevel1">
    <w:name w:val="Heading Level 1"/>
    <w:basedOn w:val="Normal"/>
    <w:next w:val="BodyText1"/>
    <w:uiPriority w:val="9"/>
    <w:qFormat/>
    <w:rsid w:val="00A959D2"/>
    <w:pPr>
      <w:keepNext/>
      <w:keepLines/>
      <w:numPr>
        <w:numId w:val="2"/>
      </w:numPr>
      <w:spacing w:before="480" w:after="240"/>
      <w:outlineLvl w:val="0"/>
    </w:pPr>
    <w:rPr>
      <w:rFonts w:cs="Times New Roman"/>
      <w:b/>
      <w:sz w:val="24"/>
      <w:szCs w:val="22"/>
    </w:rPr>
  </w:style>
  <w:style w:type="paragraph" w:customStyle="1" w:styleId="HeadingLevel2">
    <w:name w:val="Heading Level 2"/>
    <w:basedOn w:val="Normal"/>
    <w:uiPriority w:val="9"/>
    <w:qFormat/>
    <w:rsid w:val="00A959D2"/>
    <w:pPr>
      <w:numPr>
        <w:ilvl w:val="1"/>
        <w:numId w:val="2"/>
      </w:numPr>
      <w:spacing w:after="240"/>
      <w:outlineLvl w:val="1"/>
    </w:pPr>
    <w:rPr>
      <w:rFonts w:cs="Times New Roman"/>
      <w:szCs w:val="22"/>
    </w:rPr>
  </w:style>
  <w:style w:type="paragraph" w:customStyle="1" w:styleId="HeadingLevel3">
    <w:name w:val="Heading Level 3"/>
    <w:basedOn w:val="Normal"/>
    <w:uiPriority w:val="9"/>
    <w:qFormat/>
    <w:rsid w:val="00A959D2"/>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A959D2"/>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A959D2"/>
    <w:pPr>
      <w:numPr>
        <w:ilvl w:val="4"/>
        <w:numId w:val="2"/>
      </w:numPr>
      <w:spacing w:after="240"/>
      <w:outlineLvl w:val="4"/>
    </w:pPr>
    <w:rPr>
      <w:rFonts w:cs="Times New Roman"/>
      <w:szCs w:val="22"/>
    </w:rPr>
  </w:style>
  <w:style w:type="numbering" w:customStyle="1" w:styleId="HeadingNumbering">
    <w:name w:val="Heading Numbering"/>
    <w:uiPriority w:val="99"/>
    <w:rsid w:val="00A959D2"/>
    <w:pPr>
      <w:numPr>
        <w:numId w:val="2"/>
      </w:numPr>
    </w:pPr>
  </w:style>
  <w:style w:type="paragraph" w:customStyle="1" w:styleId="NumberLevel1">
    <w:name w:val="Number Level 1"/>
    <w:basedOn w:val="Normal"/>
    <w:uiPriority w:val="10"/>
    <w:qFormat/>
    <w:rsid w:val="00C40493"/>
    <w:pPr>
      <w:numPr>
        <w:numId w:val="3"/>
      </w:numPr>
      <w:spacing w:after="240"/>
      <w:outlineLvl w:val="0"/>
    </w:pPr>
    <w:rPr>
      <w:rFonts w:cs="Times New Roman"/>
      <w:szCs w:val="22"/>
    </w:rPr>
  </w:style>
  <w:style w:type="paragraph" w:customStyle="1" w:styleId="NumberLevel2">
    <w:name w:val="Number Level 2"/>
    <w:basedOn w:val="Normal"/>
    <w:uiPriority w:val="12"/>
    <w:qFormat/>
    <w:rsid w:val="00C40493"/>
    <w:pPr>
      <w:numPr>
        <w:ilvl w:val="1"/>
        <w:numId w:val="3"/>
      </w:numPr>
      <w:spacing w:after="240"/>
      <w:outlineLvl w:val="1"/>
    </w:pPr>
    <w:rPr>
      <w:rFonts w:cs="Times New Roman"/>
      <w:szCs w:val="22"/>
    </w:rPr>
  </w:style>
  <w:style w:type="paragraph" w:customStyle="1" w:styleId="NumberLevel3">
    <w:name w:val="Number Level 3"/>
    <w:basedOn w:val="Normal"/>
    <w:uiPriority w:val="13"/>
    <w:qFormat/>
    <w:rsid w:val="00C40493"/>
    <w:pPr>
      <w:numPr>
        <w:ilvl w:val="2"/>
        <w:numId w:val="3"/>
      </w:numPr>
      <w:spacing w:after="240"/>
      <w:outlineLvl w:val="2"/>
    </w:pPr>
    <w:rPr>
      <w:rFonts w:cs="Times New Roman"/>
      <w:szCs w:val="22"/>
    </w:rPr>
  </w:style>
  <w:style w:type="paragraph" w:customStyle="1" w:styleId="NumberLevel4">
    <w:name w:val="Number Level 4"/>
    <w:basedOn w:val="Normal"/>
    <w:uiPriority w:val="14"/>
    <w:qFormat/>
    <w:rsid w:val="00C40493"/>
    <w:pPr>
      <w:numPr>
        <w:ilvl w:val="3"/>
        <w:numId w:val="3"/>
      </w:numPr>
      <w:spacing w:after="240"/>
      <w:outlineLvl w:val="3"/>
    </w:pPr>
    <w:rPr>
      <w:rFonts w:cs="Times New Roman"/>
      <w:szCs w:val="22"/>
    </w:rPr>
  </w:style>
  <w:style w:type="paragraph" w:customStyle="1" w:styleId="NumberLevel5">
    <w:name w:val="Number Level 5"/>
    <w:basedOn w:val="Normal"/>
    <w:uiPriority w:val="15"/>
    <w:qFormat/>
    <w:rsid w:val="00C40493"/>
    <w:pPr>
      <w:numPr>
        <w:ilvl w:val="4"/>
        <w:numId w:val="3"/>
      </w:numPr>
      <w:spacing w:after="240"/>
      <w:outlineLvl w:val="4"/>
    </w:pPr>
    <w:rPr>
      <w:rFonts w:cs="Times New Roman"/>
      <w:szCs w:val="22"/>
    </w:rPr>
  </w:style>
  <w:style w:type="paragraph" w:styleId="Quote">
    <w:name w:val="Quote"/>
    <w:basedOn w:val="Normal"/>
    <w:next w:val="BodyText"/>
    <w:link w:val="QuoteChar"/>
    <w:uiPriority w:val="7"/>
    <w:qFormat/>
    <w:rsid w:val="00C40493"/>
    <w:pPr>
      <w:spacing w:after="240"/>
      <w:ind w:left="1440" w:right="1440"/>
    </w:pPr>
    <w:rPr>
      <w:i/>
      <w:iCs/>
      <w:color w:val="000000" w:themeColor="text1"/>
    </w:rPr>
  </w:style>
  <w:style w:type="character" w:customStyle="1" w:styleId="QuoteChar">
    <w:name w:val="Quote Char"/>
    <w:basedOn w:val="DefaultParagraphFont"/>
    <w:link w:val="Quote"/>
    <w:uiPriority w:val="7"/>
    <w:rsid w:val="00C40493"/>
    <w:rPr>
      <w:rFonts w:ascii="Trebuchet MS" w:hAnsi="Trebuchet MS"/>
      <w:i/>
      <w:iCs/>
      <w:color w:val="000000" w:themeColor="text1"/>
      <w:szCs w:val="20"/>
      <w:lang w:val="en-GB"/>
    </w:rPr>
  </w:style>
  <w:style w:type="numbering" w:customStyle="1" w:styleId="StandardNumbering">
    <w:name w:val="Standard Numbering"/>
    <w:uiPriority w:val="99"/>
    <w:rsid w:val="00C40493"/>
    <w:pPr>
      <w:numPr>
        <w:numId w:val="3"/>
      </w:numPr>
    </w:pPr>
  </w:style>
  <w:style w:type="paragraph" w:styleId="TOCHeading">
    <w:name w:val="TOC Heading"/>
    <w:basedOn w:val="BodyText"/>
    <w:next w:val="BodyText"/>
    <w:uiPriority w:val="69"/>
    <w:qFormat/>
    <w:rsid w:val="00BE445B"/>
    <w:pPr>
      <w:keepNext/>
    </w:pPr>
    <w:rPr>
      <w:b/>
      <w:bCs/>
      <w:sz w:val="22"/>
      <w:szCs w:val="32"/>
    </w:rPr>
  </w:style>
  <w:style w:type="paragraph" w:styleId="TOC1">
    <w:name w:val="toc 1"/>
    <w:basedOn w:val="Normal"/>
    <w:next w:val="Normal"/>
    <w:autoRedefine/>
    <w:uiPriority w:val="39"/>
    <w:unhideWhenUsed/>
    <w:rsid w:val="00BE445B"/>
    <w:pPr>
      <w:spacing w:after="100"/>
    </w:pPr>
  </w:style>
  <w:style w:type="character" w:styleId="Hyperlink">
    <w:name w:val="Hyperlink"/>
    <w:basedOn w:val="DefaultParagraphFont"/>
    <w:uiPriority w:val="99"/>
    <w:unhideWhenUsed/>
    <w:rsid w:val="00BE445B"/>
    <w:rPr>
      <w:color w:val="0000FF" w:themeColor="hyperlink"/>
      <w:u w:val="single"/>
    </w:rPr>
  </w:style>
  <w:style w:type="paragraph" w:customStyle="1" w:styleId="HeadingLevel2asheading">
    <w:name w:val="Heading Level 2 as heading"/>
    <w:basedOn w:val="HeadingLevel2"/>
    <w:next w:val="BodyText1"/>
    <w:uiPriority w:val="9"/>
    <w:qFormat/>
    <w:rsid w:val="002350B7"/>
    <w:pPr>
      <w:keepNext/>
    </w:pPr>
    <w:rPr>
      <w:b/>
      <w:sz w:val="22"/>
    </w:rPr>
  </w:style>
  <w:style w:type="paragraph" w:customStyle="1" w:styleId="Sch1styleclause">
    <w:name w:val="Sch  (1style) clause"/>
    <w:basedOn w:val="Normal"/>
    <w:semiHidden/>
    <w:rsid w:val="00DB1A49"/>
    <w:pPr>
      <w:numPr>
        <w:numId w:val="4"/>
      </w:numPr>
      <w:spacing w:before="320" w:line="300" w:lineRule="atLeast"/>
      <w:outlineLvl w:val="0"/>
    </w:pPr>
    <w:rPr>
      <w:rFonts w:ascii="Times New Roman" w:eastAsia="Times New Roman" w:hAnsi="Times New Roman" w:cs="Times New Roman"/>
      <w:b/>
      <w:smallCaps/>
      <w:sz w:val="22"/>
    </w:rPr>
  </w:style>
  <w:style w:type="paragraph" w:customStyle="1" w:styleId="Sch1stylesubclause">
    <w:name w:val="Sch  (1style) sub clause"/>
    <w:basedOn w:val="Normal"/>
    <w:semiHidden/>
    <w:rsid w:val="00DB1A49"/>
    <w:pPr>
      <w:numPr>
        <w:ilvl w:val="1"/>
        <w:numId w:val="4"/>
      </w:numPr>
      <w:spacing w:before="280" w:after="120" w:line="300" w:lineRule="atLeast"/>
      <w:outlineLvl w:val="1"/>
    </w:pPr>
    <w:rPr>
      <w:rFonts w:ascii="Times New Roman" w:eastAsia="Times New Roman" w:hAnsi="Times New Roman" w:cs="Times New Roman"/>
      <w:color w:val="000000"/>
      <w:sz w:val="22"/>
    </w:rPr>
  </w:style>
  <w:style w:type="paragraph" w:customStyle="1" w:styleId="Sch1stylepara">
    <w:name w:val="Sch (1style) para"/>
    <w:basedOn w:val="Normal"/>
    <w:semiHidden/>
    <w:rsid w:val="00DB1A49"/>
    <w:pPr>
      <w:numPr>
        <w:ilvl w:val="2"/>
        <w:numId w:val="4"/>
      </w:numPr>
      <w:spacing w:after="120" w:line="300" w:lineRule="atLeast"/>
    </w:pPr>
    <w:rPr>
      <w:rFonts w:ascii="Times New Roman" w:eastAsia="Times New Roman" w:hAnsi="Times New Roman" w:cs="Times New Roman"/>
      <w:sz w:val="22"/>
    </w:rPr>
  </w:style>
  <w:style w:type="paragraph" w:customStyle="1" w:styleId="Sch1stylesubpara">
    <w:name w:val="Sch (1style) sub para"/>
    <w:basedOn w:val="Heading4"/>
    <w:semiHidden/>
    <w:rsid w:val="00DB1A49"/>
    <w:pPr>
      <w:numPr>
        <w:ilvl w:val="3"/>
        <w:numId w:val="4"/>
      </w:numPr>
      <w:tabs>
        <w:tab w:val="left" w:pos="2261"/>
      </w:tabs>
      <w:spacing w:after="120" w:line="300" w:lineRule="atLeast"/>
    </w:pPr>
    <w:rPr>
      <w:rFonts w:ascii="Times New Roman" w:eastAsia="Times New Roman" w:hAnsi="Times New Roman" w:cs="Times New Roman"/>
      <w:sz w:val="22"/>
    </w:rPr>
  </w:style>
  <w:style w:type="paragraph" w:styleId="FootnoteText">
    <w:name w:val="footnote text"/>
    <w:basedOn w:val="Normal"/>
    <w:link w:val="FootnoteTextChar"/>
    <w:uiPriority w:val="99"/>
    <w:semiHidden/>
    <w:unhideWhenUsed/>
    <w:rsid w:val="00F05362"/>
  </w:style>
  <w:style w:type="character" w:customStyle="1" w:styleId="FootnoteTextChar">
    <w:name w:val="Footnote Text Char"/>
    <w:basedOn w:val="DefaultParagraphFont"/>
    <w:link w:val="FootnoteText"/>
    <w:uiPriority w:val="99"/>
    <w:semiHidden/>
    <w:rsid w:val="00F05362"/>
    <w:rPr>
      <w:rFonts w:ascii="Trebuchet MS" w:hAnsi="Trebuchet MS"/>
      <w:sz w:val="20"/>
      <w:szCs w:val="20"/>
      <w:lang w:val="en-GB"/>
    </w:rPr>
  </w:style>
  <w:style w:type="character" w:styleId="FootnoteReference">
    <w:name w:val="footnote reference"/>
    <w:basedOn w:val="DefaultParagraphFont"/>
    <w:uiPriority w:val="99"/>
    <w:semiHidden/>
    <w:unhideWhenUsed/>
    <w:rsid w:val="00F05362"/>
    <w:rPr>
      <w:vertAlign w:val="superscript"/>
    </w:rPr>
  </w:style>
  <w:style w:type="paragraph" w:styleId="TOC2">
    <w:name w:val="toc 2"/>
    <w:basedOn w:val="Normal"/>
    <w:next w:val="Normal"/>
    <w:autoRedefine/>
    <w:uiPriority w:val="39"/>
    <w:unhideWhenUsed/>
    <w:rsid w:val="00540969"/>
    <w:pPr>
      <w:spacing w:after="100" w:line="276" w:lineRule="auto"/>
      <w:ind w:left="220"/>
      <w:jc w:val="left"/>
    </w:pPr>
    <w:rPr>
      <w:rFonts w:asciiTheme="minorHAnsi" w:eastAsiaTheme="minorEastAsia" w:hAnsiTheme="minorHAnsi"/>
      <w:sz w:val="22"/>
      <w:szCs w:val="22"/>
      <w:lang w:eastAsia="en-GB"/>
    </w:rPr>
  </w:style>
  <w:style w:type="paragraph" w:styleId="TOC3">
    <w:name w:val="toc 3"/>
    <w:basedOn w:val="Normal"/>
    <w:next w:val="Normal"/>
    <w:autoRedefine/>
    <w:uiPriority w:val="39"/>
    <w:unhideWhenUsed/>
    <w:rsid w:val="00540969"/>
    <w:pPr>
      <w:spacing w:after="100" w:line="276" w:lineRule="auto"/>
      <w:ind w:left="440"/>
      <w:jc w:val="left"/>
    </w:pPr>
    <w:rPr>
      <w:rFonts w:asciiTheme="minorHAnsi" w:eastAsiaTheme="minorEastAsia" w:hAnsiTheme="minorHAnsi"/>
      <w:sz w:val="22"/>
      <w:szCs w:val="22"/>
      <w:lang w:eastAsia="en-GB"/>
    </w:rPr>
  </w:style>
  <w:style w:type="paragraph" w:styleId="TOC4">
    <w:name w:val="toc 4"/>
    <w:basedOn w:val="Normal"/>
    <w:next w:val="Normal"/>
    <w:autoRedefine/>
    <w:uiPriority w:val="39"/>
    <w:unhideWhenUsed/>
    <w:rsid w:val="00540969"/>
    <w:pPr>
      <w:spacing w:after="100" w:line="276" w:lineRule="auto"/>
      <w:ind w:left="660"/>
      <w:jc w:val="left"/>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540969"/>
    <w:pPr>
      <w:spacing w:after="100" w:line="276" w:lineRule="auto"/>
      <w:ind w:left="880"/>
      <w:jc w:val="left"/>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540969"/>
    <w:pPr>
      <w:spacing w:after="100" w:line="276" w:lineRule="auto"/>
      <w:ind w:left="1100"/>
      <w:jc w:val="left"/>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540969"/>
    <w:pPr>
      <w:spacing w:after="100" w:line="276" w:lineRule="auto"/>
      <w:ind w:left="1320"/>
      <w:jc w:val="left"/>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540969"/>
    <w:pPr>
      <w:spacing w:after="100" w:line="276" w:lineRule="auto"/>
      <w:ind w:left="1540"/>
      <w:jc w:val="left"/>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540969"/>
    <w:pPr>
      <w:spacing w:after="100" w:line="276" w:lineRule="auto"/>
      <w:ind w:left="1760"/>
      <w:jc w:val="left"/>
    </w:pPr>
    <w:rPr>
      <w:rFonts w:asciiTheme="minorHAnsi" w:eastAsiaTheme="minorEastAsia" w:hAnsiTheme="minorHAnsi"/>
      <w:sz w:val="22"/>
      <w:szCs w:val="22"/>
      <w:lang w:eastAsia="en-GB"/>
    </w:rPr>
  </w:style>
  <w:style w:type="paragraph" w:styleId="Revision">
    <w:name w:val="Revision"/>
    <w:hidden/>
    <w:uiPriority w:val="99"/>
    <w:semiHidden/>
    <w:rsid w:val="008B6B71"/>
    <w:pPr>
      <w:spacing w:after="0" w:line="240" w:lineRule="auto"/>
    </w:pPr>
    <w:rPr>
      <w:rFonts w:ascii="Trebuchet MS" w:hAnsi="Trebuchet MS"/>
      <w:sz w:val="20"/>
      <w:szCs w:val="20"/>
      <w:lang w:val="en-GB"/>
    </w:rPr>
  </w:style>
  <w:style w:type="paragraph" w:customStyle="1" w:styleId="DocID">
    <w:name w:val="DocID"/>
    <w:basedOn w:val="Footer"/>
    <w:next w:val="Footer"/>
    <w:link w:val="DocIDChar"/>
    <w:rsid w:val="009F0DE5"/>
    <w:pPr>
      <w:tabs>
        <w:tab w:val="clear" w:pos="4680"/>
        <w:tab w:val="clear" w:pos="9360"/>
      </w:tabs>
      <w:jc w:val="left"/>
    </w:pPr>
    <w:rPr>
      <w:rFonts w:eastAsia="Times New Roman" w:cs="Times New Roman"/>
      <w:sz w:val="16"/>
      <w:lang w:eastAsia="en-GB"/>
    </w:rPr>
  </w:style>
  <w:style w:type="character" w:customStyle="1" w:styleId="DocIDChar">
    <w:name w:val="DocID Char"/>
    <w:basedOn w:val="Heading1Char"/>
    <w:link w:val="DocID"/>
    <w:rsid w:val="009F0DE5"/>
    <w:rPr>
      <w:rFonts w:ascii="Trebuchet MS" w:eastAsia="Times New Roman" w:hAnsi="Trebuchet MS" w:cs="Times New Roman"/>
      <w:b w:val="0"/>
      <w:bCs w:val="0"/>
      <w:sz w:val="16"/>
      <w:szCs w:val="20"/>
      <w:lang w:val="en-GB" w:eastAsia="en-GB"/>
    </w:rPr>
  </w:style>
  <w:style w:type="character" w:customStyle="1" w:styleId="UnresolvedMention">
    <w:name w:val="Unresolved Mention"/>
    <w:basedOn w:val="DefaultParagraphFont"/>
    <w:uiPriority w:val="99"/>
    <w:semiHidden/>
    <w:unhideWhenUsed/>
    <w:rsid w:val="004707BB"/>
    <w:rPr>
      <w:color w:val="605E5C"/>
      <w:shd w:val="clear" w:color="auto" w:fill="E1DFDD"/>
    </w:rPr>
  </w:style>
  <w:style w:type="character" w:styleId="FollowedHyperlink">
    <w:name w:val="FollowedHyperlink"/>
    <w:basedOn w:val="DefaultParagraphFont"/>
    <w:uiPriority w:val="99"/>
    <w:semiHidden/>
    <w:unhideWhenUsed/>
    <w:rsid w:val="004B1FE1"/>
    <w:rPr>
      <w:color w:val="800080" w:themeColor="followedHyperlink"/>
      <w:u w:val="single"/>
    </w:rPr>
  </w:style>
  <w:style w:type="paragraph" w:styleId="NormalWeb">
    <w:name w:val="Normal (Web)"/>
    <w:basedOn w:val="Normal"/>
    <w:uiPriority w:val="99"/>
    <w:semiHidden/>
    <w:unhideWhenUsed/>
    <w:rsid w:val="004608B5"/>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0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179410">
      <w:bodyDiv w:val="1"/>
      <w:marLeft w:val="0"/>
      <w:marRight w:val="0"/>
      <w:marTop w:val="0"/>
      <w:marBottom w:val="0"/>
      <w:divBdr>
        <w:top w:val="none" w:sz="0" w:space="0" w:color="auto"/>
        <w:left w:val="none" w:sz="0" w:space="0" w:color="auto"/>
        <w:bottom w:val="none" w:sz="0" w:space="0" w:color="auto"/>
        <w:right w:val="none" w:sz="0" w:space="0" w:color="auto"/>
      </w:divBdr>
      <w:divsChild>
        <w:div w:id="1771315126">
          <w:marLeft w:val="0"/>
          <w:marRight w:val="0"/>
          <w:marTop w:val="0"/>
          <w:marBottom w:val="0"/>
          <w:divBdr>
            <w:top w:val="none" w:sz="0" w:space="0" w:color="auto"/>
            <w:left w:val="none" w:sz="0" w:space="0" w:color="auto"/>
            <w:bottom w:val="none" w:sz="0" w:space="0" w:color="auto"/>
            <w:right w:val="none" w:sz="0" w:space="0" w:color="auto"/>
          </w:divBdr>
          <w:divsChild>
            <w:div w:id="1238324319">
              <w:marLeft w:val="0"/>
              <w:marRight w:val="0"/>
              <w:marTop w:val="0"/>
              <w:marBottom w:val="0"/>
              <w:divBdr>
                <w:top w:val="none" w:sz="0" w:space="0" w:color="auto"/>
                <w:left w:val="none" w:sz="0" w:space="0" w:color="auto"/>
                <w:bottom w:val="none" w:sz="0" w:space="0" w:color="auto"/>
                <w:right w:val="none" w:sz="0" w:space="0" w:color="auto"/>
              </w:divBdr>
              <w:divsChild>
                <w:div w:id="405423951">
                  <w:marLeft w:val="0"/>
                  <w:marRight w:val="0"/>
                  <w:marTop w:val="0"/>
                  <w:marBottom w:val="0"/>
                  <w:divBdr>
                    <w:top w:val="none" w:sz="0" w:space="0" w:color="auto"/>
                    <w:left w:val="none" w:sz="0" w:space="0" w:color="auto"/>
                    <w:bottom w:val="none" w:sz="0" w:space="0" w:color="auto"/>
                    <w:right w:val="none" w:sz="0" w:space="0" w:color="auto"/>
                  </w:divBdr>
                  <w:divsChild>
                    <w:div w:id="1004093018">
                      <w:marLeft w:val="0"/>
                      <w:marRight w:val="0"/>
                      <w:marTop w:val="0"/>
                      <w:marBottom w:val="0"/>
                      <w:divBdr>
                        <w:top w:val="none" w:sz="0" w:space="0" w:color="auto"/>
                        <w:left w:val="none" w:sz="0" w:space="0" w:color="auto"/>
                        <w:bottom w:val="none" w:sz="0" w:space="0" w:color="auto"/>
                        <w:right w:val="none" w:sz="0" w:space="0" w:color="auto"/>
                      </w:divBdr>
                      <w:divsChild>
                        <w:div w:id="418479288">
                          <w:marLeft w:val="0"/>
                          <w:marRight w:val="0"/>
                          <w:marTop w:val="0"/>
                          <w:marBottom w:val="0"/>
                          <w:divBdr>
                            <w:top w:val="none" w:sz="0" w:space="0" w:color="auto"/>
                            <w:left w:val="none" w:sz="0" w:space="0" w:color="auto"/>
                            <w:bottom w:val="none" w:sz="0" w:space="0" w:color="auto"/>
                            <w:right w:val="none" w:sz="0" w:space="0" w:color="auto"/>
                          </w:divBdr>
                          <w:divsChild>
                            <w:div w:id="1575505496">
                              <w:marLeft w:val="0"/>
                              <w:marRight w:val="0"/>
                              <w:marTop w:val="0"/>
                              <w:marBottom w:val="0"/>
                              <w:divBdr>
                                <w:top w:val="none" w:sz="0" w:space="0" w:color="auto"/>
                                <w:left w:val="none" w:sz="0" w:space="0" w:color="auto"/>
                                <w:bottom w:val="none" w:sz="0" w:space="0" w:color="auto"/>
                                <w:right w:val="none" w:sz="0" w:space="0" w:color="auto"/>
                              </w:divBdr>
                              <w:divsChild>
                                <w:div w:id="1446577044">
                                  <w:marLeft w:val="0"/>
                                  <w:marRight w:val="0"/>
                                  <w:marTop w:val="0"/>
                                  <w:marBottom w:val="0"/>
                                  <w:divBdr>
                                    <w:top w:val="none" w:sz="0" w:space="0" w:color="auto"/>
                                    <w:left w:val="none" w:sz="0" w:space="0" w:color="auto"/>
                                    <w:bottom w:val="none" w:sz="0" w:space="0" w:color="auto"/>
                                    <w:right w:val="none" w:sz="0" w:space="0" w:color="auto"/>
                                  </w:divBdr>
                                  <w:divsChild>
                                    <w:div w:id="579751306">
                                      <w:marLeft w:val="0"/>
                                      <w:marRight w:val="0"/>
                                      <w:marTop w:val="0"/>
                                      <w:marBottom w:val="0"/>
                                      <w:divBdr>
                                        <w:top w:val="none" w:sz="0" w:space="0" w:color="auto"/>
                                        <w:left w:val="none" w:sz="0" w:space="0" w:color="auto"/>
                                        <w:bottom w:val="none" w:sz="0" w:space="0" w:color="auto"/>
                                        <w:right w:val="none" w:sz="0" w:space="0" w:color="auto"/>
                                      </w:divBdr>
                                      <w:divsChild>
                                        <w:div w:id="89200349">
                                          <w:marLeft w:val="0"/>
                                          <w:marRight w:val="0"/>
                                          <w:marTop w:val="0"/>
                                          <w:marBottom w:val="0"/>
                                          <w:divBdr>
                                            <w:top w:val="none" w:sz="0" w:space="0" w:color="auto"/>
                                            <w:left w:val="none" w:sz="0" w:space="0" w:color="auto"/>
                                            <w:bottom w:val="none" w:sz="0" w:space="0" w:color="auto"/>
                                            <w:right w:val="none" w:sz="0" w:space="0" w:color="auto"/>
                                          </w:divBdr>
                                          <w:divsChild>
                                            <w:div w:id="1934589287">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150"/>
                                                  <w:marRight w:val="-150"/>
                                                  <w:marTop w:val="0"/>
                                                  <w:marBottom w:val="0"/>
                                                  <w:divBdr>
                                                    <w:top w:val="none" w:sz="0" w:space="0" w:color="auto"/>
                                                    <w:left w:val="none" w:sz="0" w:space="0" w:color="auto"/>
                                                    <w:bottom w:val="none" w:sz="0" w:space="0" w:color="auto"/>
                                                    <w:right w:val="none" w:sz="0" w:space="0" w:color="auto"/>
                                                  </w:divBdr>
                                                  <w:divsChild>
                                                    <w:div w:id="654917416">
                                                      <w:marLeft w:val="0"/>
                                                      <w:marRight w:val="0"/>
                                                      <w:marTop w:val="0"/>
                                                      <w:marBottom w:val="0"/>
                                                      <w:divBdr>
                                                        <w:top w:val="none" w:sz="0" w:space="0" w:color="auto"/>
                                                        <w:left w:val="none" w:sz="0" w:space="0" w:color="auto"/>
                                                        <w:bottom w:val="none" w:sz="0" w:space="0" w:color="auto"/>
                                                        <w:right w:val="none" w:sz="0" w:space="0" w:color="auto"/>
                                                      </w:divBdr>
                                                      <w:divsChild>
                                                        <w:div w:id="2647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9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Hous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1807-52B5-4F81-A94A-AF2231E5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BJ House Styles</Template>
  <TotalTime>0</TotalTime>
  <Pages>8</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2023-09-14T13:12:00Z</dcterms:created>
  <dcterms:modified xsi:type="dcterms:W3CDTF">2023-11-23T10:41:00Z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L:42639773v1</vt:lpwstr>
  </property>
  <property fmtid="{D5CDD505-2E9C-101B-9397-08002B2CF9AE}" pid="3" name="CUS_DocIDString">
    <vt:lpwstr>LEGAL\62607450v1</vt:lpwstr>
  </property>
  <property fmtid="{D5CDD505-2E9C-101B-9397-08002B2CF9AE}" pid="4" name="CUS_DocIDChunk0">
    <vt:lpwstr>LEGAL\62607450v1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